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pPr w:leftFromText="141" w:rightFromText="141" w:vertAnchor="text" w:horzAnchor="margin" w:tblpXSpec="center" w:tblpY="-379"/>
        <w:tblW w:w="551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1"/>
        <w:gridCol w:w="2085"/>
        <w:gridCol w:w="7725"/>
      </w:tblGrid>
      <w:tr w:rsidR="004522BE" w:rsidRPr="0020669A" w14:paraId="47908EC0" w14:textId="77777777" w:rsidTr="004522BE">
        <w:trPr>
          <w:trHeight w:val="394"/>
        </w:trPr>
        <w:tc>
          <w:tcPr>
            <w:tcW w:w="1721" w:type="dxa"/>
            <w:vAlign w:val="center"/>
            <w:hideMark/>
          </w:tcPr>
          <w:p w14:paraId="7AD70F70" w14:textId="77777777" w:rsidR="004522BE" w:rsidRPr="0020669A" w:rsidRDefault="004522BE" w:rsidP="004522BE">
            <w:pPr>
              <w:rPr>
                <w:rFonts w:ascii="Palatino Linotype" w:hAnsi="Palatino Linotype" w:cs="Helvetica"/>
                <w:b/>
                <w:bCs/>
                <w:color w:val="005F65"/>
                <w:sz w:val="40"/>
                <w:szCs w:val="40"/>
                <w:lang w:val="fr-FR"/>
              </w:rPr>
            </w:pPr>
            <w:bookmarkStart w:id="0" w:name="_Hlk48035595"/>
            <w:bookmarkStart w:id="1" w:name="_GoBack"/>
            <w:bookmarkEnd w:id="1"/>
          </w:p>
        </w:tc>
        <w:tc>
          <w:tcPr>
            <w:tcW w:w="9810" w:type="dxa"/>
            <w:gridSpan w:val="2"/>
          </w:tcPr>
          <w:p w14:paraId="27782783" w14:textId="77777777" w:rsidR="004522BE" w:rsidRPr="0020669A" w:rsidRDefault="004522BE" w:rsidP="004522BE">
            <w:pPr>
              <w:pStyle w:val="ContactInfo"/>
              <w:jc w:val="left"/>
              <w:rPr>
                <w:color w:val="auto"/>
                <w:lang w:val="fr-FR"/>
              </w:rPr>
            </w:pPr>
          </w:p>
        </w:tc>
      </w:tr>
      <w:tr w:rsidR="004522BE" w14:paraId="0C549312" w14:textId="77777777" w:rsidTr="004522BE">
        <w:trPr>
          <w:trHeight w:val="81"/>
        </w:trPr>
        <w:tc>
          <w:tcPr>
            <w:tcW w:w="3806" w:type="dxa"/>
            <w:gridSpan w:val="2"/>
          </w:tcPr>
          <w:p w14:paraId="0FC14481" w14:textId="1B316614" w:rsidR="004522BE" w:rsidRDefault="004522BE" w:rsidP="004522BE">
            <w:pPr>
              <w:pStyle w:val="SectionHeading"/>
              <w:spacing w:before="120" w:after="120"/>
              <w:rPr>
                <w:lang w:val="en-GB"/>
              </w:rPr>
            </w:pPr>
            <w:r>
              <w:rPr>
                <w:lang w:val="en-GB"/>
              </w:rPr>
              <w:t>Summary</w:t>
            </w:r>
          </w:p>
          <w:p w14:paraId="046DB9CC" w14:textId="77777777" w:rsidR="004522BE" w:rsidRPr="00B1268D" w:rsidRDefault="004522BE" w:rsidP="004522BE">
            <w:pPr>
              <w:jc w:val="both"/>
              <w:rPr>
                <w:rFonts w:ascii="Helvetica" w:hAnsi="Helvetica" w:cs="Helvetica"/>
                <w:i/>
                <w:iCs/>
                <w:color w:val="505050"/>
                <w:sz w:val="20"/>
                <w:szCs w:val="20"/>
                <w:lang w:val="en-GB"/>
              </w:rPr>
            </w:pPr>
            <w:bookmarkStart w:id="2" w:name="_Hlk95233436"/>
            <w:r w:rsidRPr="00B1268D">
              <w:rPr>
                <w:rFonts w:ascii="Helvetica" w:hAnsi="Helvetica" w:cs="Helvetica"/>
                <w:i/>
                <w:iCs/>
                <w:color w:val="505050"/>
                <w:sz w:val="20"/>
                <w:szCs w:val="20"/>
                <w:lang w:val="en-GB"/>
              </w:rPr>
              <w:t xml:space="preserve">Analytical and results-driven Neuroscientist with hands-on experience in pharmacology, proteinopathies, </w:t>
            </w:r>
            <w:r>
              <w:rPr>
                <w:rFonts w:ascii="Helvetica" w:hAnsi="Helvetica" w:cs="Helvetica"/>
                <w:i/>
                <w:iCs/>
                <w:color w:val="505050"/>
                <w:sz w:val="20"/>
                <w:szCs w:val="20"/>
                <w:lang w:val="en-GB"/>
              </w:rPr>
              <w:t>protein-</w:t>
            </w:r>
            <w:r w:rsidRPr="00B1268D">
              <w:rPr>
                <w:rFonts w:ascii="Helvetica" w:hAnsi="Helvetica" w:cs="Helvetica"/>
                <w:i/>
                <w:iCs/>
                <w:color w:val="505050"/>
                <w:sz w:val="20"/>
                <w:szCs w:val="20"/>
                <w:lang w:val="en-GB"/>
              </w:rPr>
              <w:t>protein</w:t>
            </w:r>
            <w:r>
              <w:rPr>
                <w:rFonts w:ascii="Helvetica" w:hAnsi="Helvetica" w:cs="Helvetica"/>
                <w:i/>
                <w:iCs/>
                <w:color w:val="505050"/>
                <w:sz w:val="20"/>
                <w:szCs w:val="20"/>
                <w:lang w:val="en-GB"/>
              </w:rPr>
              <w:t xml:space="preserve"> </w:t>
            </w:r>
            <w:r w:rsidRPr="00B1268D">
              <w:rPr>
                <w:rFonts w:ascii="Helvetica" w:hAnsi="Helvetica" w:cs="Helvetica"/>
                <w:i/>
                <w:iCs/>
                <w:color w:val="505050"/>
                <w:sz w:val="20"/>
                <w:szCs w:val="20"/>
                <w:lang w:val="en-GB"/>
              </w:rPr>
              <w:t xml:space="preserve">interaction, immunotherapy, knowledge of clinical diagnosis </w:t>
            </w:r>
            <w:r>
              <w:rPr>
                <w:rFonts w:ascii="Helvetica" w:hAnsi="Helvetica" w:cs="Helvetica"/>
                <w:i/>
                <w:iCs/>
                <w:color w:val="505050"/>
                <w:sz w:val="20"/>
                <w:szCs w:val="20"/>
                <w:lang w:val="en-GB"/>
              </w:rPr>
              <w:t xml:space="preserve">and biomarkers </w:t>
            </w:r>
            <w:r w:rsidRPr="00B1268D">
              <w:rPr>
                <w:rFonts w:ascii="Helvetica" w:hAnsi="Helvetica" w:cs="Helvetica"/>
                <w:i/>
                <w:iCs/>
                <w:color w:val="505050"/>
                <w:sz w:val="20"/>
                <w:szCs w:val="20"/>
                <w:lang w:val="en-GB"/>
              </w:rPr>
              <w:t xml:space="preserve">in neurodegenerative diseases. </w:t>
            </w:r>
            <w:r w:rsidRPr="009A095C">
              <w:rPr>
                <w:rFonts w:ascii="Helvetica" w:hAnsi="Helvetica" w:cs="Helvetica"/>
                <w:i/>
                <w:iCs/>
                <w:color w:val="505050"/>
                <w:sz w:val="20"/>
                <w:szCs w:val="20"/>
                <w:lang w:val="en-GB"/>
              </w:rPr>
              <w:t>Well-versed in conducting investigations of the potential therapeutic role</w:t>
            </w:r>
            <w:r>
              <w:rPr>
                <w:rFonts w:ascii="Helvetica" w:hAnsi="Helvetica" w:cs="Helvetica"/>
                <w:i/>
                <w:iCs/>
                <w:color w:val="505050"/>
                <w:sz w:val="20"/>
                <w:szCs w:val="20"/>
                <w:lang w:val="en-GB"/>
              </w:rPr>
              <w:t xml:space="preserve"> </w:t>
            </w:r>
            <w:r w:rsidRPr="009A095C">
              <w:rPr>
                <w:rFonts w:ascii="Helvetica" w:hAnsi="Helvetica" w:cs="Helvetica"/>
                <w:i/>
                <w:iCs/>
                <w:color w:val="505050"/>
                <w:sz w:val="20"/>
                <w:szCs w:val="20"/>
                <w:lang w:val="en-GB"/>
              </w:rPr>
              <w:t xml:space="preserve">of single-domain antibodies directed against tau in </w:t>
            </w:r>
            <w:r>
              <w:rPr>
                <w:rFonts w:ascii="Helvetica" w:hAnsi="Helvetica" w:cs="Helvetica"/>
                <w:i/>
                <w:iCs/>
                <w:color w:val="505050"/>
                <w:sz w:val="20"/>
                <w:szCs w:val="20"/>
                <w:lang w:val="en-GB"/>
              </w:rPr>
              <w:t xml:space="preserve">Alzheimer’s Disease and related </w:t>
            </w:r>
            <w:r w:rsidRPr="009A095C">
              <w:rPr>
                <w:rFonts w:ascii="Helvetica" w:hAnsi="Helvetica" w:cs="Helvetica"/>
                <w:i/>
                <w:iCs/>
                <w:color w:val="505050"/>
                <w:sz w:val="20"/>
                <w:szCs w:val="20"/>
                <w:lang w:val="en-GB"/>
              </w:rPr>
              <w:t>tauopathies</w:t>
            </w:r>
            <w:r>
              <w:rPr>
                <w:rFonts w:ascii="Helvetica" w:hAnsi="Helvetica" w:cs="Helvetica"/>
                <w:i/>
                <w:iCs/>
                <w:color w:val="505050"/>
                <w:sz w:val="20"/>
                <w:szCs w:val="20"/>
                <w:lang w:val="en-GB"/>
              </w:rPr>
              <w:t xml:space="preserve">. </w:t>
            </w:r>
            <w:r w:rsidRPr="00B1268D">
              <w:rPr>
                <w:rFonts w:ascii="Helvetica" w:hAnsi="Helvetica" w:cs="Helvetica"/>
                <w:i/>
                <w:iCs/>
                <w:color w:val="505050"/>
                <w:sz w:val="20"/>
                <w:szCs w:val="20"/>
                <w:lang w:val="en-GB"/>
              </w:rPr>
              <w:t>Licensed pharmacist with a wide knowledge of medications, drug-drug interactions, patient psychology,</w:t>
            </w:r>
            <w:r>
              <w:rPr>
                <w:rFonts w:ascii="Helvetica" w:hAnsi="Helvetica" w:cs="Helvetica"/>
                <w:i/>
                <w:iCs/>
                <w:color w:val="505050"/>
                <w:sz w:val="20"/>
                <w:szCs w:val="20"/>
                <w:lang w:val="en-GB"/>
              </w:rPr>
              <w:t xml:space="preserve"> pharmacy operations, </w:t>
            </w:r>
            <w:r w:rsidRPr="00B1268D">
              <w:rPr>
                <w:rFonts w:ascii="Helvetica" w:hAnsi="Helvetica" w:cs="Helvetica"/>
                <w:i/>
                <w:iCs/>
                <w:color w:val="505050"/>
                <w:sz w:val="20"/>
                <w:szCs w:val="20"/>
                <w:lang w:val="en-GB"/>
              </w:rPr>
              <w:t>business management</w:t>
            </w:r>
            <w:r>
              <w:rPr>
                <w:rFonts w:ascii="Helvetica" w:hAnsi="Helvetica" w:cs="Helvetica"/>
                <w:i/>
                <w:iCs/>
                <w:color w:val="505050"/>
                <w:sz w:val="20"/>
                <w:szCs w:val="20"/>
                <w:lang w:val="en-GB"/>
              </w:rPr>
              <w:t xml:space="preserve">, </w:t>
            </w:r>
            <w:r w:rsidRPr="009A095C">
              <w:rPr>
                <w:rFonts w:ascii="Helvetica" w:hAnsi="Helvetica" w:cs="Helvetica"/>
                <w:i/>
                <w:iCs/>
                <w:color w:val="505050"/>
                <w:sz w:val="20"/>
                <w:szCs w:val="20"/>
                <w:lang w:val="en-GB"/>
              </w:rPr>
              <w:t>and providing impeccable services to clients</w:t>
            </w:r>
            <w:r>
              <w:rPr>
                <w:rFonts w:ascii="Helvetica" w:hAnsi="Helvetica" w:cs="Helvetica"/>
                <w:i/>
                <w:iCs/>
                <w:color w:val="505050"/>
                <w:sz w:val="20"/>
                <w:szCs w:val="20"/>
                <w:lang w:val="en-GB"/>
              </w:rPr>
              <w:t xml:space="preserve">. </w:t>
            </w:r>
            <w:r w:rsidRPr="00B1268D">
              <w:rPr>
                <w:rFonts w:ascii="Helvetica" w:hAnsi="Helvetica" w:cs="Helvetica"/>
                <w:i/>
                <w:iCs/>
                <w:color w:val="505050"/>
                <w:sz w:val="20"/>
                <w:szCs w:val="20"/>
                <w:lang w:val="en-GB"/>
              </w:rPr>
              <w:t>Instrumental in coaching and guiding students regarding pharmacology to improve performance and productivity</w:t>
            </w:r>
            <w:r>
              <w:rPr>
                <w:rFonts w:ascii="Helvetica" w:hAnsi="Helvetica" w:cs="Helvetica"/>
                <w:i/>
                <w:iCs/>
                <w:color w:val="505050"/>
                <w:sz w:val="20"/>
                <w:szCs w:val="20"/>
                <w:lang w:val="en-GB"/>
              </w:rPr>
              <w:t>.</w:t>
            </w:r>
            <w:r w:rsidRPr="00B1268D">
              <w:rPr>
                <w:rFonts w:ascii="Helvetica" w:hAnsi="Helvetica" w:cs="Helvetica"/>
                <w:i/>
                <w:iCs/>
                <w:color w:val="505050"/>
                <w:sz w:val="20"/>
                <w:szCs w:val="20"/>
                <w:lang w:val="en-GB"/>
              </w:rPr>
              <w:t xml:space="preserve"> Strong critical thinker with high observation and interface skills.</w:t>
            </w:r>
            <w:r>
              <w:rPr>
                <w:rFonts w:ascii="Helvetica" w:hAnsi="Helvetica" w:cs="Helvetica"/>
                <w:i/>
                <w:iCs/>
                <w:color w:val="505050"/>
                <w:sz w:val="20"/>
                <w:szCs w:val="20"/>
                <w:lang w:val="en-GB"/>
              </w:rPr>
              <w:t xml:space="preserve"> </w:t>
            </w:r>
            <w:r w:rsidRPr="00FC207E">
              <w:rPr>
                <w:rFonts w:ascii="Helvetica" w:hAnsi="Helvetica" w:cs="Helvetica"/>
                <w:i/>
                <w:iCs/>
                <w:color w:val="505050"/>
                <w:sz w:val="20"/>
                <w:szCs w:val="20"/>
              </w:rPr>
              <w:t>Actively contribute to the team's goals with commitment</w:t>
            </w:r>
            <w:r>
              <w:rPr>
                <w:rFonts w:ascii="Helvetica" w:hAnsi="Helvetica" w:cs="Helvetica"/>
                <w:i/>
                <w:iCs/>
                <w:color w:val="505050"/>
                <w:sz w:val="20"/>
                <w:szCs w:val="20"/>
              </w:rPr>
              <w:t>.</w:t>
            </w:r>
            <w:r w:rsidRPr="00FC207E">
              <w:rPr>
                <w:rFonts w:ascii="Helvetica" w:hAnsi="Helvetica" w:cs="Helvetica"/>
                <w:i/>
                <w:iCs/>
                <w:color w:val="505050"/>
                <w:sz w:val="20"/>
                <w:szCs w:val="20"/>
              </w:rPr>
              <w:t xml:space="preserve"> </w:t>
            </w:r>
            <w:r>
              <w:rPr>
                <w:rFonts w:ascii="Helvetica" w:hAnsi="Helvetica" w:cs="Helvetica"/>
                <w:i/>
                <w:iCs/>
                <w:color w:val="505050"/>
                <w:sz w:val="20"/>
                <w:szCs w:val="20"/>
              </w:rPr>
              <w:t>A</w:t>
            </w:r>
            <w:r w:rsidRPr="00FC207E">
              <w:rPr>
                <w:rFonts w:ascii="Helvetica" w:hAnsi="Helvetica" w:cs="Helvetica"/>
                <w:i/>
                <w:iCs/>
                <w:color w:val="505050"/>
                <w:sz w:val="20"/>
                <w:szCs w:val="20"/>
              </w:rPr>
              <w:t xml:space="preserve"> positive and a strong work ethic attitude.</w:t>
            </w:r>
          </w:p>
          <w:bookmarkEnd w:id="2"/>
          <w:p w14:paraId="007D6BAE" w14:textId="77777777" w:rsidR="004522BE" w:rsidRDefault="004522BE" w:rsidP="004522BE">
            <w:pPr>
              <w:pStyle w:val="SectionHeading"/>
              <w:spacing w:before="240" w:after="120"/>
              <w:rPr>
                <w:lang w:val="en-GB"/>
              </w:rPr>
            </w:pPr>
            <w:r>
              <w:rPr>
                <w:lang w:val="en-GB"/>
              </w:rPr>
              <w:t>Education &amp; Credentials</w:t>
            </w:r>
          </w:p>
          <w:p w14:paraId="669897E6" w14:textId="77777777" w:rsidR="004522BE" w:rsidRDefault="004522BE" w:rsidP="004522BE">
            <w:pPr>
              <w:pStyle w:val="EduDegree"/>
              <w:ind w:left="72" w:right="90"/>
              <w:rPr>
                <w:lang w:val="en-GB"/>
              </w:rPr>
            </w:pPr>
            <w:r>
              <w:rPr>
                <w:lang w:val="en-GB"/>
              </w:rPr>
              <w:t>Ph.D. in Neuroscience (2021)</w:t>
            </w:r>
          </w:p>
          <w:p w14:paraId="07083A69" w14:textId="77777777" w:rsidR="004522BE" w:rsidRDefault="004522BE" w:rsidP="004522BE">
            <w:pPr>
              <w:pStyle w:val="EduInfo"/>
              <w:ind w:left="72" w:right="90"/>
              <w:rPr>
                <w:lang w:val="en-GB"/>
              </w:rPr>
            </w:pPr>
            <w:r w:rsidRPr="00A76851">
              <w:rPr>
                <w:lang w:val="en-GB"/>
              </w:rPr>
              <w:t>INSERM, Lille, France</w:t>
            </w:r>
          </w:p>
          <w:p w14:paraId="61B583A4" w14:textId="77777777" w:rsidR="004522BE" w:rsidRDefault="004522BE" w:rsidP="004522BE">
            <w:pPr>
              <w:pStyle w:val="EduDegree"/>
              <w:ind w:left="72" w:right="90"/>
              <w:rPr>
                <w:lang w:val="en-GB"/>
              </w:rPr>
            </w:pPr>
            <w:r>
              <w:rPr>
                <w:lang w:val="en-GB"/>
              </w:rPr>
              <w:t xml:space="preserve">MSc in </w:t>
            </w:r>
            <w:r w:rsidRPr="00A76851">
              <w:rPr>
                <w:lang w:val="en-GB"/>
              </w:rPr>
              <w:t>Pharmaceutical &amp;</w:t>
            </w:r>
            <w:r>
              <w:rPr>
                <w:lang w:val="en-GB"/>
              </w:rPr>
              <w:t xml:space="preserve"> </w:t>
            </w:r>
            <w:r w:rsidRPr="00A76851">
              <w:rPr>
                <w:lang w:val="en-GB"/>
              </w:rPr>
              <w:t>Pharmacological Sc.</w:t>
            </w:r>
            <w:r>
              <w:rPr>
                <w:lang w:val="en-GB"/>
              </w:rPr>
              <w:t xml:space="preserve"> (2013)</w:t>
            </w:r>
          </w:p>
          <w:p w14:paraId="0B881EF2" w14:textId="77777777" w:rsidR="004522BE" w:rsidRDefault="004522BE" w:rsidP="004522BE">
            <w:pPr>
              <w:pStyle w:val="EduInfo"/>
              <w:ind w:left="72" w:right="90"/>
              <w:rPr>
                <w:lang w:val="en-GB"/>
              </w:rPr>
            </w:pPr>
            <w:r w:rsidRPr="00357F31">
              <w:rPr>
                <w:lang w:val="en-GB"/>
              </w:rPr>
              <w:t>University of KU- Leuven, Belgium</w:t>
            </w:r>
          </w:p>
          <w:p w14:paraId="0017E0C4" w14:textId="77777777" w:rsidR="004522BE" w:rsidRDefault="004522BE" w:rsidP="004522BE">
            <w:pPr>
              <w:pStyle w:val="EduInfo"/>
              <w:ind w:left="72" w:right="90"/>
              <w:rPr>
                <w:lang w:val="en-GB"/>
              </w:rPr>
            </w:pPr>
          </w:p>
          <w:p w14:paraId="2F16712F" w14:textId="77777777" w:rsidR="004522BE" w:rsidRPr="00256C75" w:rsidRDefault="004522BE" w:rsidP="004522BE">
            <w:pPr>
              <w:pStyle w:val="EduInfo"/>
              <w:ind w:left="72" w:right="90"/>
              <w:rPr>
                <w:b/>
                <w:bCs/>
                <w:lang w:val="en-GB"/>
              </w:rPr>
            </w:pPr>
            <w:r w:rsidRPr="00256C75">
              <w:rPr>
                <w:b/>
                <w:bCs/>
                <w:lang w:val="en-GB"/>
              </w:rPr>
              <w:t>BSc Faculty of Pharmacy (2014)</w:t>
            </w:r>
          </w:p>
          <w:p w14:paraId="0B00D179" w14:textId="77777777" w:rsidR="004522BE" w:rsidRPr="00256C75" w:rsidRDefault="004522BE" w:rsidP="004522BE">
            <w:pPr>
              <w:pStyle w:val="EduInfo"/>
              <w:ind w:left="72" w:right="90"/>
              <w:rPr>
                <w:lang w:val="en-GB"/>
              </w:rPr>
            </w:pPr>
            <w:r w:rsidRPr="00256C75">
              <w:rPr>
                <w:lang w:val="en-GB"/>
              </w:rPr>
              <w:t>Aristotle University of Thessaloniki,</w:t>
            </w:r>
            <w:r>
              <w:rPr>
                <w:lang w:val="en-GB"/>
              </w:rPr>
              <w:t xml:space="preserve"> Thessaloniki, Greece</w:t>
            </w:r>
          </w:p>
          <w:p w14:paraId="3970D551" w14:textId="77777777" w:rsidR="004522BE" w:rsidRDefault="004522BE" w:rsidP="004522BE">
            <w:pPr>
              <w:pStyle w:val="SectionHeading"/>
              <w:spacing w:before="240" w:after="120"/>
              <w:rPr>
                <w:lang w:val="en-GB"/>
              </w:rPr>
            </w:pPr>
            <w:r>
              <w:rPr>
                <w:lang w:val="en-GB"/>
              </w:rPr>
              <w:t>Honours &amp; Awards</w:t>
            </w:r>
          </w:p>
          <w:p w14:paraId="38B44D68" w14:textId="77777777" w:rsidR="004522BE" w:rsidRDefault="004522BE" w:rsidP="004522BE">
            <w:pPr>
              <w:pStyle w:val="SectionHeading"/>
              <w:spacing w:before="0" w:after="0"/>
              <w:rPr>
                <w:rFonts w:ascii="Helvetica" w:hAnsi="Helvetica"/>
                <w:b w:val="0"/>
                <w:bCs w:val="0"/>
                <w:color w:val="505050"/>
                <w:sz w:val="20"/>
                <w:szCs w:val="20"/>
                <w:lang w:val="en-GB"/>
              </w:rPr>
            </w:pPr>
            <w:r w:rsidRPr="00232650">
              <w:rPr>
                <w:rFonts w:ascii="Helvetica" w:hAnsi="Helvetica"/>
                <w:color w:val="505050"/>
                <w:sz w:val="20"/>
                <w:szCs w:val="20"/>
                <w:lang w:val="en-GB"/>
              </w:rPr>
              <w:t xml:space="preserve">Excellence Award </w:t>
            </w:r>
            <w:r w:rsidRPr="00232650">
              <w:rPr>
                <w:rFonts w:ascii="Helvetica" w:hAnsi="Helvetica"/>
                <w:b w:val="0"/>
                <w:bCs w:val="0"/>
                <w:color w:val="505050"/>
                <w:sz w:val="20"/>
                <w:szCs w:val="20"/>
                <w:lang w:val="en-GB"/>
              </w:rPr>
              <w:t xml:space="preserve">to </w:t>
            </w:r>
            <w:r w:rsidRPr="00232650">
              <w:rPr>
                <w:rFonts w:ascii="Helvetica" w:hAnsi="Helvetica"/>
                <w:i/>
                <w:iCs/>
                <w:color w:val="505050"/>
                <w:sz w:val="20"/>
                <w:szCs w:val="20"/>
                <w:lang w:val="en-GB"/>
              </w:rPr>
              <w:t xml:space="preserve">Aristotle Team of Pharmacy (Co-Founder) </w:t>
            </w:r>
          </w:p>
          <w:p w14:paraId="780A6578" w14:textId="77777777" w:rsidR="004522BE" w:rsidRDefault="004522BE" w:rsidP="004522BE">
            <w:pPr>
              <w:pStyle w:val="SectionHeading"/>
              <w:spacing w:before="0" w:after="120"/>
              <w:rPr>
                <w:rFonts w:ascii="Helvetica" w:hAnsi="Helvetica"/>
                <w:b w:val="0"/>
                <w:bCs w:val="0"/>
                <w:color w:val="505050"/>
                <w:sz w:val="20"/>
                <w:szCs w:val="20"/>
                <w:lang w:val="en-GB"/>
              </w:rPr>
            </w:pPr>
            <w:r w:rsidRPr="00232650">
              <w:rPr>
                <w:rFonts w:ascii="Helvetica" w:hAnsi="Helvetica"/>
                <w:b w:val="0"/>
                <w:bCs w:val="0"/>
                <w:color w:val="505050"/>
                <w:sz w:val="20"/>
                <w:szCs w:val="20"/>
                <w:lang w:val="en-GB"/>
              </w:rPr>
              <w:t>Aristotle University of Thessaloniki</w:t>
            </w:r>
            <w:r>
              <w:rPr>
                <w:rFonts w:ascii="Helvetica" w:hAnsi="Helvetica"/>
                <w:b w:val="0"/>
                <w:bCs w:val="0"/>
                <w:color w:val="505050"/>
                <w:sz w:val="20"/>
                <w:szCs w:val="20"/>
                <w:lang w:val="en-GB"/>
              </w:rPr>
              <w:t>, Greece</w:t>
            </w:r>
          </w:p>
          <w:p w14:paraId="41E3B2DE" w14:textId="77777777" w:rsidR="004522BE" w:rsidRPr="008D0FA9" w:rsidRDefault="004522BE" w:rsidP="004522BE">
            <w:pPr>
              <w:pStyle w:val="SectionHeading"/>
              <w:spacing w:before="0" w:after="0"/>
              <w:rPr>
                <w:rFonts w:ascii="Helvetica" w:hAnsi="Helvetica"/>
                <w:b w:val="0"/>
                <w:bCs w:val="0"/>
                <w:color w:val="505050"/>
                <w:sz w:val="20"/>
                <w:szCs w:val="20"/>
                <w:lang w:val="en-GB"/>
              </w:rPr>
            </w:pPr>
            <w:r w:rsidRPr="009914F5">
              <w:rPr>
                <w:rFonts w:ascii="Helvetica" w:hAnsi="Helvetica"/>
                <w:color w:val="505050"/>
                <w:sz w:val="20"/>
                <w:szCs w:val="20"/>
                <w:lang w:val="en-GB"/>
              </w:rPr>
              <w:t>ERASMUS scholarship</w:t>
            </w:r>
            <w:r>
              <w:rPr>
                <w:rFonts w:ascii="Helvetica" w:hAnsi="Helvetica"/>
                <w:color w:val="505050"/>
                <w:sz w:val="20"/>
                <w:szCs w:val="20"/>
                <w:lang w:val="en-GB"/>
              </w:rPr>
              <w:t xml:space="preserve">                             </w:t>
            </w:r>
            <w:r w:rsidRPr="008D0FA9">
              <w:rPr>
                <w:rFonts w:ascii="Helvetica" w:hAnsi="Helvetica"/>
                <w:b w:val="0"/>
                <w:bCs w:val="0"/>
                <w:color w:val="505050"/>
                <w:sz w:val="20"/>
                <w:szCs w:val="20"/>
                <w:lang w:val="en-GB"/>
              </w:rPr>
              <w:t>KU- Leuven, Belgium</w:t>
            </w:r>
          </w:p>
          <w:p w14:paraId="5751B54E" w14:textId="77777777" w:rsidR="004522BE" w:rsidRDefault="004522BE" w:rsidP="004522BE">
            <w:pPr>
              <w:pStyle w:val="SectionHeading"/>
              <w:spacing w:before="240" w:after="120"/>
              <w:rPr>
                <w:lang w:val="en-GB"/>
              </w:rPr>
            </w:pPr>
            <w:r>
              <w:rPr>
                <w:lang w:val="en-GB"/>
              </w:rPr>
              <w:t>Languages</w:t>
            </w:r>
          </w:p>
          <w:p w14:paraId="74A55630" w14:textId="77777777" w:rsidR="004522BE" w:rsidRDefault="004522BE" w:rsidP="004522BE">
            <w:pPr>
              <w:pStyle w:val="LeftColumnBullet"/>
              <w:numPr>
                <w:ilvl w:val="0"/>
                <w:numId w:val="0"/>
              </w:numPr>
              <w:tabs>
                <w:tab w:val="left" w:pos="720"/>
              </w:tabs>
              <w:spacing w:before="100" w:after="100"/>
              <w:ind w:right="86"/>
              <w:contextualSpacing w:val="0"/>
              <w:rPr>
                <w:lang w:val="en-GB"/>
              </w:rPr>
            </w:pPr>
            <w:r w:rsidRPr="00B06379">
              <w:rPr>
                <w:b/>
                <w:bCs/>
                <w:lang w:val="en-GB"/>
              </w:rPr>
              <w:t>Albanian</w:t>
            </w:r>
            <w:r>
              <w:rPr>
                <w:lang w:val="en-GB"/>
              </w:rPr>
              <w:t xml:space="preserve"> – Native </w:t>
            </w:r>
          </w:p>
          <w:p w14:paraId="05E85C03" w14:textId="77777777" w:rsidR="004522BE" w:rsidRDefault="004522BE" w:rsidP="004522BE">
            <w:pPr>
              <w:pStyle w:val="LeftColumnBullet"/>
              <w:numPr>
                <w:ilvl w:val="0"/>
                <w:numId w:val="0"/>
              </w:numPr>
              <w:tabs>
                <w:tab w:val="left" w:pos="720"/>
              </w:tabs>
              <w:spacing w:before="100" w:after="100"/>
              <w:ind w:right="86"/>
              <w:contextualSpacing w:val="0"/>
              <w:rPr>
                <w:lang w:val="en-GB"/>
              </w:rPr>
            </w:pPr>
            <w:r w:rsidRPr="00B06379">
              <w:rPr>
                <w:b/>
                <w:bCs/>
                <w:lang w:val="en-GB"/>
              </w:rPr>
              <w:t>English</w:t>
            </w:r>
            <w:r>
              <w:rPr>
                <w:lang w:val="en-GB"/>
              </w:rPr>
              <w:t xml:space="preserve"> – Professional Proficiency </w:t>
            </w:r>
          </w:p>
          <w:p w14:paraId="3E1E9A35" w14:textId="77777777" w:rsidR="004522BE" w:rsidRDefault="004522BE" w:rsidP="004522BE">
            <w:pPr>
              <w:pStyle w:val="LeftColumnBullet"/>
              <w:numPr>
                <w:ilvl w:val="0"/>
                <w:numId w:val="0"/>
              </w:numPr>
              <w:tabs>
                <w:tab w:val="left" w:pos="720"/>
              </w:tabs>
              <w:spacing w:before="100" w:after="100"/>
              <w:ind w:right="86"/>
              <w:contextualSpacing w:val="0"/>
              <w:rPr>
                <w:lang w:val="en-GB"/>
              </w:rPr>
            </w:pPr>
            <w:r w:rsidRPr="00B06379">
              <w:rPr>
                <w:b/>
                <w:bCs/>
                <w:lang w:val="en-GB"/>
              </w:rPr>
              <w:t>Greek</w:t>
            </w:r>
            <w:r>
              <w:rPr>
                <w:lang w:val="en-GB"/>
              </w:rPr>
              <w:t xml:space="preserve"> – Professional Proficiency </w:t>
            </w:r>
          </w:p>
          <w:p w14:paraId="370EC928" w14:textId="77777777" w:rsidR="004522BE" w:rsidRPr="00B06379" w:rsidRDefault="004522BE" w:rsidP="004522BE">
            <w:pPr>
              <w:pStyle w:val="LeftColumnBullet"/>
              <w:numPr>
                <w:ilvl w:val="0"/>
                <w:numId w:val="0"/>
              </w:numPr>
              <w:tabs>
                <w:tab w:val="left" w:pos="720"/>
              </w:tabs>
              <w:spacing w:before="100" w:after="100"/>
              <w:ind w:right="86"/>
              <w:contextualSpacing w:val="0"/>
              <w:rPr>
                <w:lang w:val="en-GB"/>
              </w:rPr>
            </w:pPr>
            <w:r w:rsidRPr="00B06379">
              <w:rPr>
                <w:b/>
                <w:bCs/>
                <w:lang w:val="en-GB"/>
              </w:rPr>
              <w:t>French</w:t>
            </w:r>
            <w:r>
              <w:rPr>
                <w:lang w:val="en-GB"/>
              </w:rPr>
              <w:t xml:space="preserve"> – Intermediate </w:t>
            </w:r>
          </w:p>
        </w:tc>
        <w:tc>
          <w:tcPr>
            <w:tcW w:w="7725" w:type="dxa"/>
            <w:hideMark/>
          </w:tcPr>
          <w:p w14:paraId="4D47DE92" w14:textId="3713C610" w:rsidR="004522BE" w:rsidRDefault="004522BE" w:rsidP="00E015F5">
            <w:pPr>
              <w:pStyle w:val="SectionHeading"/>
              <w:spacing w:before="0" w:after="0"/>
              <w:rPr>
                <w:lang w:val="en-GB"/>
              </w:rPr>
            </w:pPr>
            <w:r>
              <w:rPr>
                <w:lang w:val="en-GB"/>
              </w:rPr>
              <w:t>Areas of Expertise</w:t>
            </w:r>
          </w:p>
          <w:tbl>
            <w:tblPr>
              <w:tblStyle w:val="Grilledutableau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64"/>
              <w:gridCol w:w="3478"/>
            </w:tblGrid>
            <w:tr w:rsidR="004522BE" w14:paraId="04A36E0D" w14:textId="77777777" w:rsidTr="007817A3">
              <w:trPr>
                <w:trHeight w:val="945"/>
                <w:jc w:val="center"/>
              </w:trPr>
              <w:tc>
                <w:tcPr>
                  <w:tcW w:w="3564" w:type="dxa"/>
                </w:tcPr>
                <w:p w14:paraId="5932551D" w14:textId="77777777" w:rsidR="004522BE" w:rsidRDefault="004522BE" w:rsidP="00DC2602">
                  <w:pPr>
                    <w:pStyle w:val="AoEBullet"/>
                    <w:framePr w:hSpace="141" w:wrap="around" w:vAnchor="text" w:hAnchor="margin" w:xAlign="center" w:y="-379"/>
                    <w:numPr>
                      <w:ilvl w:val="0"/>
                      <w:numId w:val="10"/>
                    </w:numPr>
                    <w:tabs>
                      <w:tab w:val="left" w:pos="720"/>
                    </w:tabs>
                    <w:ind w:left="150" w:hanging="180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Scientific Research &amp; Development</w:t>
                  </w:r>
                </w:p>
                <w:p w14:paraId="7AF81DB6" w14:textId="77777777" w:rsidR="004522BE" w:rsidRDefault="004522BE" w:rsidP="00DC2602">
                  <w:pPr>
                    <w:pStyle w:val="AoEBullet"/>
                    <w:framePr w:hSpace="141" w:wrap="around" w:vAnchor="text" w:hAnchor="margin" w:xAlign="center" w:y="-379"/>
                    <w:numPr>
                      <w:ilvl w:val="0"/>
                      <w:numId w:val="10"/>
                    </w:numPr>
                    <w:tabs>
                      <w:tab w:val="left" w:pos="720"/>
                    </w:tabs>
                    <w:ind w:left="150" w:hanging="180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Clinical research &amp; Biomarkers</w:t>
                  </w:r>
                </w:p>
                <w:p w14:paraId="1B98C9B4" w14:textId="77777777" w:rsidR="004522BE" w:rsidRDefault="004522BE" w:rsidP="00DC2602">
                  <w:pPr>
                    <w:pStyle w:val="AoEBullet"/>
                    <w:framePr w:hSpace="141" w:wrap="around" w:vAnchor="text" w:hAnchor="margin" w:xAlign="center" w:y="-379"/>
                    <w:numPr>
                      <w:ilvl w:val="0"/>
                      <w:numId w:val="10"/>
                    </w:numPr>
                    <w:tabs>
                      <w:tab w:val="left" w:pos="720"/>
                    </w:tabs>
                    <w:ind w:left="150" w:hanging="180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P</w:t>
                  </w:r>
                  <w:r w:rsidRPr="00FF3333">
                    <w:rPr>
                      <w:lang w:val="en-GB"/>
                    </w:rPr>
                    <w:t xml:space="preserve">harmacy </w:t>
                  </w:r>
                  <w:r>
                    <w:rPr>
                      <w:lang w:val="en-GB"/>
                    </w:rPr>
                    <w:t>&amp; P</w:t>
                  </w:r>
                  <w:r w:rsidRPr="00FF3333">
                    <w:rPr>
                      <w:lang w:val="en-GB"/>
                    </w:rPr>
                    <w:t>harmacology</w:t>
                  </w:r>
                </w:p>
                <w:p w14:paraId="4F7EB829" w14:textId="77777777" w:rsidR="004522BE" w:rsidRPr="00552FEE" w:rsidRDefault="004522BE" w:rsidP="00DC2602">
                  <w:pPr>
                    <w:pStyle w:val="AoEBullet"/>
                    <w:framePr w:hSpace="141" w:wrap="around" w:vAnchor="text" w:hAnchor="margin" w:xAlign="center" w:y="-379"/>
                    <w:numPr>
                      <w:ilvl w:val="0"/>
                      <w:numId w:val="10"/>
                    </w:numPr>
                    <w:tabs>
                      <w:tab w:val="left" w:pos="720"/>
                    </w:tabs>
                    <w:ind w:left="150" w:hanging="180"/>
                    <w:rPr>
                      <w:lang w:val="en-GB"/>
                    </w:rPr>
                  </w:pPr>
                  <w:r w:rsidRPr="00552FEE">
                    <w:rPr>
                      <w:lang w:val="en-GB"/>
                    </w:rPr>
                    <w:t xml:space="preserve">Neuroscience </w:t>
                  </w:r>
                  <w:r>
                    <w:rPr>
                      <w:lang w:val="en-GB"/>
                    </w:rPr>
                    <w:t>&amp; Therapeutics</w:t>
                  </w:r>
                </w:p>
                <w:p w14:paraId="4B6BD875" w14:textId="77777777" w:rsidR="004522BE" w:rsidRDefault="004522BE" w:rsidP="00DC2602">
                  <w:pPr>
                    <w:pStyle w:val="AoEBullet"/>
                    <w:framePr w:hSpace="141" w:wrap="around" w:vAnchor="text" w:hAnchor="margin" w:xAlign="center" w:y="-379"/>
                    <w:numPr>
                      <w:ilvl w:val="0"/>
                      <w:numId w:val="0"/>
                    </w:numPr>
                    <w:tabs>
                      <w:tab w:val="left" w:pos="720"/>
                    </w:tabs>
                    <w:ind w:left="150" w:hanging="150"/>
                    <w:rPr>
                      <w:lang w:val="en-GB"/>
                    </w:rPr>
                  </w:pPr>
                </w:p>
              </w:tc>
              <w:tc>
                <w:tcPr>
                  <w:tcW w:w="3478" w:type="dxa"/>
                </w:tcPr>
                <w:p w14:paraId="035BD900" w14:textId="77777777" w:rsidR="004522BE" w:rsidRDefault="004522BE" w:rsidP="00DC2602">
                  <w:pPr>
                    <w:pStyle w:val="AoEBullet"/>
                    <w:framePr w:hSpace="141" w:wrap="around" w:vAnchor="text" w:hAnchor="margin" w:xAlign="center" w:y="-379"/>
                    <w:numPr>
                      <w:ilvl w:val="0"/>
                      <w:numId w:val="10"/>
                    </w:numPr>
                    <w:tabs>
                      <w:tab w:val="left" w:pos="720"/>
                    </w:tabs>
                    <w:ind w:left="150" w:hanging="180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Project &amp; Operations Management</w:t>
                  </w:r>
                </w:p>
                <w:p w14:paraId="75A075F7" w14:textId="77777777" w:rsidR="004522BE" w:rsidRDefault="004522BE" w:rsidP="00DC2602">
                  <w:pPr>
                    <w:pStyle w:val="AoEBullet"/>
                    <w:framePr w:hSpace="141" w:wrap="around" w:vAnchor="text" w:hAnchor="margin" w:xAlign="center" w:y="-379"/>
                    <w:numPr>
                      <w:ilvl w:val="0"/>
                      <w:numId w:val="10"/>
                    </w:numPr>
                    <w:tabs>
                      <w:tab w:val="left" w:pos="720"/>
                    </w:tabs>
                    <w:ind w:left="150" w:hanging="180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 xml:space="preserve">Drug Development &amp; Regulations </w:t>
                  </w:r>
                </w:p>
                <w:p w14:paraId="27DA81F0" w14:textId="77777777" w:rsidR="004522BE" w:rsidRDefault="004522BE" w:rsidP="00DC2602">
                  <w:pPr>
                    <w:pStyle w:val="AoEBullet"/>
                    <w:framePr w:hSpace="141" w:wrap="around" w:vAnchor="text" w:hAnchor="margin" w:xAlign="center" w:y="-379"/>
                    <w:numPr>
                      <w:ilvl w:val="0"/>
                      <w:numId w:val="10"/>
                    </w:numPr>
                    <w:tabs>
                      <w:tab w:val="left" w:pos="720"/>
                    </w:tabs>
                    <w:ind w:left="150" w:hanging="180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 xml:space="preserve">Health &amp; Safety Standards  </w:t>
                  </w:r>
                </w:p>
                <w:p w14:paraId="04B79BBF" w14:textId="77777777" w:rsidR="004522BE" w:rsidRDefault="004522BE" w:rsidP="00DC2602">
                  <w:pPr>
                    <w:pStyle w:val="AoEBullet"/>
                    <w:framePr w:hSpace="141" w:wrap="around" w:vAnchor="text" w:hAnchor="margin" w:xAlign="center" w:y="-379"/>
                    <w:numPr>
                      <w:ilvl w:val="0"/>
                      <w:numId w:val="10"/>
                    </w:numPr>
                    <w:tabs>
                      <w:tab w:val="left" w:pos="720"/>
                    </w:tabs>
                    <w:ind w:left="150" w:hanging="180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 xml:space="preserve">Report Writing &amp; Presentation </w:t>
                  </w:r>
                </w:p>
                <w:p w14:paraId="12DEB3C6" w14:textId="77777777" w:rsidR="004522BE" w:rsidRDefault="004522BE" w:rsidP="00DC2602">
                  <w:pPr>
                    <w:pStyle w:val="AoEBullet"/>
                    <w:framePr w:hSpace="141" w:wrap="around" w:vAnchor="text" w:hAnchor="margin" w:xAlign="center" w:y="-379"/>
                    <w:numPr>
                      <w:ilvl w:val="0"/>
                      <w:numId w:val="0"/>
                    </w:numPr>
                    <w:tabs>
                      <w:tab w:val="left" w:pos="720"/>
                    </w:tabs>
                    <w:ind w:left="150" w:hanging="150"/>
                    <w:rPr>
                      <w:lang w:val="en-GB"/>
                    </w:rPr>
                  </w:pPr>
                </w:p>
              </w:tc>
            </w:tr>
          </w:tbl>
          <w:p w14:paraId="0CC1A844" w14:textId="77777777" w:rsidR="004522BE" w:rsidRDefault="004522BE" w:rsidP="004522BE">
            <w:pPr>
              <w:pStyle w:val="SectionHeading"/>
              <w:spacing w:before="0" w:after="120"/>
              <w:ind w:left="86"/>
              <w:rPr>
                <w:lang w:val="en-GB"/>
              </w:rPr>
            </w:pPr>
            <w:r>
              <w:rPr>
                <w:lang w:val="en-GB"/>
              </w:rPr>
              <w:t>Professional Experience</w:t>
            </w:r>
          </w:p>
          <w:p w14:paraId="7C60ED60" w14:textId="7AE5B22C" w:rsidR="004522BE" w:rsidRDefault="004522BE" w:rsidP="004522BE">
            <w:pPr>
              <w:pStyle w:val="CompanyBlock"/>
              <w:tabs>
                <w:tab w:val="clear" w:pos="7155"/>
                <w:tab w:val="right" w:pos="7380"/>
              </w:tabs>
              <w:spacing w:after="0"/>
              <w:ind w:left="86"/>
              <w:rPr>
                <w:lang w:val="en-GB"/>
              </w:rPr>
            </w:pPr>
            <w:r w:rsidRPr="00713573">
              <w:rPr>
                <w:lang w:val="en-GB"/>
              </w:rPr>
              <w:t>Lille Neuroscience and Cognition</w:t>
            </w:r>
            <w:r w:rsidR="00D77B53">
              <w:rPr>
                <w:lang w:val="en-GB"/>
              </w:rPr>
              <w:t xml:space="preserve"> (LilNCog)</w:t>
            </w:r>
            <w:r>
              <w:rPr>
                <w:lang w:val="en-GB"/>
              </w:rPr>
              <w:t>, France</w:t>
            </w:r>
            <w:r>
              <w:rPr>
                <w:lang w:val="en-GB"/>
              </w:rPr>
              <w:tab/>
              <w:t>2018 – 2021</w:t>
            </w:r>
          </w:p>
          <w:p w14:paraId="2D7F7051" w14:textId="77777777" w:rsidR="004522BE" w:rsidRDefault="004522BE" w:rsidP="004522BE">
            <w:pPr>
              <w:pStyle w:val="CompanyBlock"/>
              <w:spacing w:after="0"/>
              <w:ind w:left="86"/>
              <w:rPr>
                <w:lang w:val="en-GB"/>
              </w:rPr>
            </w:pPr>
            <w:r w:rsidRPr="00207CE8">
              <w:rPr>
                <w:lang w:val="en-GB"/>
              </w:rPr>
              <w:t xml:space="preserve">Risk Factors and Molecular Determinants of </w:t>
            </w:r>
            <w:r>
              <w:rPr>
                <w:lang w:val="en-GB"/>
              </w:rPr>
              <w:t>Aging-Related</w:t>
            </w:r>
            <w:r w:rsidRPr="00207CE8">
              <w:rPr>
                <w:lang w:val="en-GB"/>
              </w:rPr>
              <w:t xml:space="preserve"> Diseases</w:t>
            </w:r>
            <w:r>
              <w:rPr>
                <w:lang w:val="en-GB"/>
              </w:rPr>
              <w:t xml:space="preserve"> </w:t>
            </w:r>
            <w:r w:rsidRPr="00207CE8">
              <w:rPr>
                <w:lang w:val="en-GB"/>
              </w:rPr>
              <w:t xml:space="preserve"> </w:t>
            </w:r>
          </w:p>
          <w:p w14:paraId="0D049165" w14:textId="77777777" w:rsidR="004522BE" w:rsidRDefault="004522BE" w:rsidP="004522BE">
            <w:pPr>
              <w:pStyle w:val="CompanyBlock"/>
              <w:spacing w:after="120"/>
              <w:ind w:left="86"/>
              <w:rPr>
                <w:lang w:val="en-GB"/>
              </w:rPr>
            </w:pPr>
            <w:r>
              <w:rPr>
                <w:lang w:val="en-GB"/>
              </w:rPr>
              <w:t>Ph.D.</w:t>
            </w:r>
            <w:r w:rsidRPr="00713573">
              <w:rPr>
                <w:lang w:val="en-GB"/>
              </w:rPr>
              <w:t xml:space="preserve"> student -INSERM contract</w:t>
            </w:r>
            <w:r>
              <w:rPr>
                <w:lang w:val="en-GB"/>
              </w:rPr>
              <w:t xml:space="preserve"> (Supervisor: </w:t>
            </w:r>
            <w:r w:rsidRPr="004F033B">
              <w:rPr>
                <w:lang w:val="en-GB"/>
              </w:rPr>
              <w:t>Luc Buée &amp; Isabelle Landrieu</w:t>
            </w:r>
            <w:r>
              <w:rPr>
                <w:lang w:val="en-GB"/>
              </w:rPr>
              <w:t>)</w:t>
            </w:r>
          </w:p>
          <w:p w14:paraId="034A8B7D" w14:textId="44542D05" w:rsidR="004522BE" w:rsidRPr="00DD60A2" w:rsidRDefault="004522BE" w:rsidP="004522BE">
            <w:pPr>
              <w:pStyle w:val="JDAccomplishment"/>
              <w:numPr>
                <w:ilvl w:val="0"/>
                <w:numId w:val="9"/>
              </w:numPr>
              <w:spacing w:before="60" w:after="60"/>
              <w:ind w:left="360" w:hanging="274"/>
              <w:contextualSpacing w:val="0"/>
              <w:jc w:val="both"/>
            </w:pPr>
            <w:r w:rsidRPr="00DD60A2">
              <w:t xml:space="preserve">Evaluated and analyzed </w:t>
            </w:r>
            <w:r w:rsidRPr="00854D0E">
              <w:rPr>
                <w:lang w:val="en-GB"/>
              </w:rPr>
              <w:t>both</w:t>
            </w:r>
            <w:r>
              <w:rPr>
                <w:i/>
                <w:iCs/>
                <w:lang w:val="en-GB"/>
              </w:rPr>
              <w:t xml:space="preserve"> in vitro </w:t>
            </w:r>
            <w:r w:rsidRPr="00D318DE">
              <w:rPr>
                <w:lang w:val="en-GB"/>
              </w:rPr>
              <w:t xml:space="preserve">(cellular) </w:t>
            </w:r>
            <w:r w:rsidRPr="0020669A">
              <w:rPr>
                <w:b/>
                <w:bCs/>
                <w:lang w:val="en-GB"/>
              </w:rPr>
              <w:t>and</w:t>
            </w:r>
            <w:r w:rsidRPr="0020669A">
              <w:rPr>
                <w:b/>
                <w:bCs/>
                <w:i/>
                <w:iCs/>
                <w:lang w:val="en-GB"/>
              </w:rPr>
              <w:t xml:space="preserve"> in vivo </w:t>
            </w:r>
            <w:r w:rsidRPr="0020669A">
              <w:rPr>
                <w:b/>
                <w:bCs/>
                <w:lang w:val="en-GB"/>
              </w:rPr>
              <w:t>(transgenic mouse model</w:t>
            </w:r>
            <w:r>
              <w:rPr>
                <w:i/>
                <w:iCs/>
                <w:lang w:val="en-GB"/>
              </w:rPr>
              <w:t>)</w:t>
            </w:r>
            <w:r w:rsidR="00D77B53">
              <w:rPr>
                <w:i/>
                <w:iCs/>
                <w:lang w:val="en-GB"/>
              </w:rPr>
              <w:t xml:space="preserve">, </w:t>
            </w:r>
            <w:r w:rsidR="00D77B53">
              <w:t>as part of the pre-clinical test</w:t>
            </w:r>
            <w:r w:rsidR="00E015F5">
              <w:t>,</w:t>
            </w:r>
            <w:r w:rsidR="00D77B53">
              <w:t xml:space="preserve"> </w:t>
            </w:r>
            <w:r w:rsidRPr="00DD60A2">
              <w:t xml:space="preserve">the potential therapeutic role of </w:t>
            </w:r>
            <w:r w:rsidR="00D77B53">
              <w:t xml:space="preserve">novel </w:t>
            </w:r>
            <w:r w:rsidRPr="00DD60A2">
              <w:t>single-domain antibodies directed against tau in tauopathies</w:t>
            </w:r>
            <w:r>
              <w:t>, including Alzheimer’s Disease (AD)</w:t>
            </w:r>
            <w:r w:rsidR="002447D0">
              <w:t xml:space="preserve"> </w:t>
            </w:r>
          </w:p>
          <w:p w14:paraId="5DD5EBF0" w14:textId="77777777" w:rsidR="004522BE" w:rsidRPr="00557B68" w:rsidRDefault="004522BE" w:rsidP="004522BE">
            <w:pPr>
              <w:pStyle w:val="JDAccomplishment"/>
              <w:numPr>
                <w:ilvl w:val="0"/>
                <w:numId w:val="9"/>
              </w:numPr>
              <w:spacing w:before="60" w:after="60"/>
              <w:ind w:left="360" w:hanging="274"/>
              <w:contextualSpacing w:val="0"/>
              <w:jc w:val="both"/>
              <w:rPr>
                <w:lang w:val="en-GB"/>
              </w:rPr>
            </w:pPr>
            <w:r w:rsidRPr="00557B68">
              <w:t xml:space="preserve">Deliberated with the knowledge of proteinopathies, </w:t>
            </w:r>
            <w:r>
              <w:t>protein-protein</w:t>
            </w:r>
            <w:r w:rsidRPr="00557B68">
              <w:t xml:space="preserve"> interaction, immunotherapy strategies, oral</w:t>
            </w:r>
            <w:r>
              <w:t>/</w:t>
            </w:r>
            <w:r w:rsidRPr="00557B68">
              <w:t>written communication</w:t>
            </w:r>
            <w:r>
              <w:t xml:space="preserve">, and </w:t>
            </w:r>
            <w:r w:rsidRPr="00557B68">
              <w:t>project management</w:t>
            </w:r>
          </w:p>
          <w:p w14:paraId="72C93280" w14:textId="77777777" w:rsidR="004522BE" w:rsidRPr="00DD333B" w:rsidRDefault="004522BE" w:rsidP="004522BE">
            <w:pPr>
              <w:pStyle w:val="JDAccomplishment"/>
              <w:numPr>
                <w:ilvl w:val="0"/>
                <w:numId w:val="9"/>
              </w:numPr>
              <w:spacing w:before="60" w:after="60"/>
              <w:ind w:left="360" w:hanging="274"/>
              <w:contextualSpacing w:val="0"/>
              <w:jc w:val="both"/>
              <w:rPr>
                <w:lang w:val="en-GB"/>
              </w:rPr>
            </w:pPr>
            <w:r>
              <w:t>Leveraged expertise in</w:t>
            </w:r>
            <w:r w:rsidRPr="00557B68">
              <w:t xml:space="preserve"> work</w:t>
            </w:r>
            <w:r>
              <w:t>ing</w:t>
            </w:r>
            <w:r w:rsidRPr="00557B68">
              <w:t xml:space="preserve"> between two teams and different approaches </w:t>
            </w:r>
            <w:r>
              <w:t>to</w:t>
            </w:r>
            <w:r w:rsidRPr="00557B68">
              <w:t xml:space="preserve"> the topic. </w:t>
            </w:r>
          </w:p>
          <w:p w14:paraId="2BA340F4" w14:textId="615A331A" w:rsidR="004522BE" w:rsidRPr="002447D0" w:rsidRDefault="004522BE" w:rsidP="004522BE">
            <w:pPr>
              <w:pStyle w:val="JDAccomplishment"/>
              <w:numPr>
                <w:ilvl w:val="0"/>
                <w:numId w:val="9"/>
              </w:numPr>
              <w:spacing w:before="60" w:after="60"/>
              <w:ind w:left="360" w:hanging="274"/>
              <w:contextualSpacing w:val="0"/>
              <w:jc w:val="both"/>
              <w:rPr>
                <w:lang w:val="en-GB"/>
              </w:rPr>
            </w:pPr>
            <w:r>
              <w:t>Presenting the project in national and international conferences (oral and poster presentation, including: ADPD, Neuro-France).</w:t>
            </w:r>
          </w:p>
          <w:p w14:paraId="5C676394" w14:textId="68CC2B56" w:rsidR="002447D0" w:rsidRPr="00557B68" w:rsidRDefault="002447D0" w:rsidP="004522BE">
            <w:pPr>
              <w:pStyle w:val="JDAccomplishment"/>
              <w:numPr>
                <w:ilvl w:val="0"/>
                <w:numId w:val="9"/>
              </w:numPr>
              <w:spacing w:before="60" w:after="60"/>
              <w:ind w:left="360" w:hanging="274"/>
              <w:contextualSpacing w:val="0"/>
              <w:jc w:val="both"/>
              <w:rPr>
                <w:lang w:val="en-GB"/>
              </w:rPr>
            </w:pPr>
            <w:r>
              <w:t>Member of the organizational committee of monthly seminars between PhDs and Post-Doctoral researchers</w:t>
            </w:r>
            <w:r w:rsidR="00D77B53">
              <w:t xml:space="preserve"> of the LilNCog</w:t>
            </w:r>
          </w:p>
          <w:p w14:paraId="30FF8C36" w14:textId="5954956B" w:rsidR="004522BE" w:rsidRPr="0020669A" w:rsidRDefault="004522BE" w:rsidP="004522BE">
            <w:pPr>
              <w:pStyle w:val="JDAccomplishment"/>
              <w:numPr>
                <w:ilvl w:val="0"/>
                <w:numId w:val="9"/>
              </w:numPr>
              <w:spacing w:before="60" w:after="60"/>
              <w:ind w:left="360" w:hanging="274"/>
              <w:contextualSpacing w:val="0"/>
              <w:jc w:val="both"/>
              <w:rPr>
                <w:b/>
                <w:bCs/>
                <w:lang w:val="en-GB"/>
              </w:rPr>
            </w:pPr>
            <w:r w:rsidRPr="00FC207E">
              <w:t>Cloning, PCR, plasmid extraction, recombinant protein expression, western blo</w:t>
            </w:r>
            <w:r>
              <w:t xml:space="preserve">t, </w:t>
            </w:r>
            <w:r w:rsidRPr="00FC207E">
              <w:t xml:space="preserve">ELISA, cell culture, flow cytometry, </w:t>
            </w:r>
            <w:r w:rsidR="008942FC" w:rsidRPr="0020669A">
              <w:rPr>
                <w:b/>
                <w:bCs/>
              </w:rPr>
              <w:t>Immunocytochemistry,</w:t>
            </w:r>
            <w:r w:rsidR="008942FC">
              <w:t xml:space="preserve"> </w:t>
            </w:r>
            <w:r w:rsidRPr="00FC207E">
              <w:t xml:space="preserve">FACS sorting. </w:t>
            </w:r>
            <w:r w:rsidRPr="0020669A">
              <w:rPr>
                <w:b/>
                <w:bCs/>
              </w:rPr>
              <w:t xml:space="preserve">Brain tissue histology and immunohistochemistry. Fluorescence/optical and confocal microscopy, </w:t>
            </w:r>
            <w:r w:rsidR="00D77B53" w:rsidRPr="0020669A">
              <w:rPr>
                <w:b/>
                <w:bCs/>
              </w:rPr>
              <w:t>light-sheet (</w:t>
            </w:r>
            <w:r w:rsidRPr="0020669A">
              <w:rPr>
                <w:b/>
                <w:bCs/>
              </w:rPr>
              <w:t>iDISCO</w:t>
            </w:r>
            <w:r w:rsidR="00D77B53" w:rsidRPr="0020669A">
              <w:rPr>
                <w:b/>
                <w:bCs/>
              </w:rPr>
              <w:t>)</w:t>
            </w:r>
            <w:r w:rsidRPr="0020669A">
              <w:rPr>
                <w:b/>
                <w:bCs/>
              </w:rPr>
              <w:t>. Mouse neuroanatomy, Stereotaxic surgery, Intracranial delivery of drugs and viral vectors in mice</w:t>
            </w:r>
            <w:r w:rsidRPr="007217F2">
              <w:t>, transcardial perfusions. Blood collection and glucose measurements.</w:t>
            </w:r>
            <w:r>
              <w:t xml:space="preserve"> </w:t>
            </w:r>
            <w:r w:rsidRPr="0020669A">
              <w:rPr>
                <w:b/>
                <w:bCs/>
              </w:rPr>
              <w:t>FELASA-French correspondent c</w:t>
            </w:r>
            <w:r w:rsidR="008942FC" w:rsidRPr="0020669A">
              <w:rPr>
                <w:b/>
                <w:bCs/>
              </w:rPr>
              <w:t>ertificate</w:t>
            </w:r>
            <w:r w:rsidRPr="0020669A">
              <w:rPr>
                <w:b/>
                <w:bCs/>
              </w:rPr>
              <w:t>.</w:t>
            </w:r>
          </w:p>
          <w:p w14:paraId="56B2B69A" w14:textId="77777777" w:rsidR="004522BE" w:rsidRDefault="004522BE" w:rsidP="004522BE">
            <w:pPr>
              <w:pStyle w:val="CompanyBlock"/>
              <w:tabs>
                <w:tab w:val="clear" w:pos="7155"/>
                <w:tab w:val="right" w:pos="7470"/>
              </w:tabs>
              <w:spacing w:before="200" w:after="0"/>
              <w:ind w:left="86"/>
              <w:rPr>
                <w:lang w:val="en-GB"/>
              </w:rPr>
            </w:pPr>
            <w:r w:rsidRPr="005F7D7C">
              <w:rPr>
                <w:lang w:val="en-GB"/>
              </w:rPr>
              <w:t>Private Pharmacy</w:t>
            </w:r>
            <w:r>
              <w:rPr>
                <w:lang w:val="en-GB"/>
              </w:rPr>
              <w:t>, Thessaloniki</w:t>
            </w:r>
            <w:r w:rsidRPr="00557B68">
              <w:rPr>
                <w:lang w:val="en-GB"/>
              </w:rPr>
              <w:t>, Greece</w:t>
            </w:r>
            <w:r>
              <w:rPr>
                <w:lang w:val="en-GB"/>
              </w:rPr>
              <w:tab/>
              <w:t>2016 – 2018</w:t>
            </w:r>
          </w:p>
          <w:p w14:paraId="21141A9F" w14:textId="77777777" w:rsidR="004522BE" w:rsidRDefault="004522BE" w:rsidP="004522BE">
            <w:pPr>
              <w:pStyle w:val="CompanyBlock"/>
              <w:spacing w:after="120"/>
              <w:ind w:left="86"/>
              <w:rPr>
                <w:lang w:val="en-GB"/>
              </w:rPr>
            </w:pPr>
            <w:r>
              <w:rPr>
                <w:lang w:val="en-GB"/>
              </w:rPr>
              <w:t>Licensed Pharmacist</w:t>
            </w:r>
          </w:p>
          <w:p w14:paraId="1B4E1616" w14:textId="77777777" w:rsidR="004522BE" w:rsidRDefault="004522BE" w:rsidP="004522BE">
            <w:pPr>
              <w:pStyle w:val="JDAccomplishment"/>
              <w:numPr>
                <w:ilvl w:val="0"/>
                <w:numId w:val="9"/>
              </w:numPr>
              <w:spacing w:before="60" w:after="60"/>
              <w:ind w:left="360" w:hanging="274"/>
              <w:contextualSpacing w:val="0"/>
              <w:jc w:val="both"/>
              <w:rPr>
                <w:lang w:val="en-GB"/>
              </w:rPr>
            </w:pPr>
            <w:r>
              <w:rPr>
                <w:lang w:val="en-GB"/>
              </w:rPr>
              <w:t>Advocated patients regarding</w:t>
            </w:r>
            <w:r>
              <w:t xml:space="preserve"> </w:t>
            </w:r>
            <w:r w:rsidRPr="00DD60A2">
              <w:rPr>
                <w:lang w:val="en-GB"/>
              </w:rPr>
              <w:t>prescriptions and drug reception</w:t>
            </w:r>
            <w:r>
              <w:rPr>
                <w:lang w:val="en-GB"/>
              </w:rPr>
              <w:t>, assigned prescribed medications, and updated the archive of controlled drugs.</w:t>
            </w:r>
          </w:p>
          <w:p w14:paraId="1DB2190B" w14:textId="77777777" w:rsidR="004522BE" w:rsidRDefault="004522BE" w:rsidP="004522BE">
            <w:pPr>
              <w:pStyle w:val="JDAccomplishment"/>
              <w:numPr>
                <w:ilvl w:val="0"/>
                <w:numId w:val="9"/>
              </w:numPr>
              <w:spacing w:before="60" w:after="60"/>
              <w:ind w:left="360" w:hanging="274"/>
              <w:contextualSpacing w:val="0"/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Played an integral role in expanding business and increased payments with monthly bonuses by efficiently managing the para-pharmaceutical part of the pharmacy with success. </w:t>
            </w:r>
          </w:p>
          <w:p w14:paraId="547786AC" w14:textId="77777777" w:rsidR="004522BE" w:rsidRDefault="004522BE" w:rsidP="004522BE">
            <w:pPr>
              <w:pStyle w:val="CompanyBlock"/>
              <w:tabs>
                <w:tab w:val="clear" w:pos="7155"/>
                <w:tab w:val="right" w:pos="7470"/>
              </w:tabs>
              <w:spacing w:before="200" w:after="0"/>
              <w:ind w:left="86"/>
              <w:rPr>
                <w:lang w:val="en-GB"/>
              </w:rPr>
            </w:pPr>
            <w:r>
              <w:rPr>
                <w:lang w:val="en-GB"/>
              </w:rPr>
              <w:t>Greek Ministry of Education, Greece</w:t>
            </w:r>
            <w:r>
              <w:rPr>
                <w:lang w:val="en-GB"/>
              </w:rPr>
              <w:tab/>
              <w:t>2015 – 2016</w:t>
            </w:r>
          </w:p>
          <w:p w14:paraId="08765FDC" w14:textId="77777777" w:rsidR="004522BE" w:rsidRDefault="004522BE" w:rsidP="004522BE">
            <w:pPr>
              <w:pStyle w:val="CompanyBlock"/>
              <w:spacing w:after="120"/>
              <w:ind w:left="86"/>
              <w:rPr>
                <w:lang w:val="en-GB"/>
              </w:rPr>
            </w:pPr>
            <w:r>
              <w:rPr>
                <w:lang w:val="en-GB"/>
              </w:rPr>
              <w:t>Licensed Pharmacist</w:t>
            </w:r>
          </w:p>
          <w:p w14:paraId="40483990" w14:textId="77777777" w:rsidR="004522BE" w:rsidRPr="00AE4009" w:rsidRDefault="004522BE" w:rsidP="004522BE">
            <w:pPr>
              <w:pStyle w:val="JDAccomplishment"/>
              <w:numPr>
                <w:ilvl w:val="0"/>
                <w:numId w:val="9"/>
              </w:numPr>
              <w:spacing w:before="60" w:after="60"/>
              <w:ind w:left="360" w:hanging="274"/>
              <w:contextualSpacing w:val="0"/>
              <w:jc w:val="both"/>
            </w:pPr>
            <w:r w:rsidRPr="00AE4009">
              <w:t>Instructed and effectively guided students regarding Pharmacology at Nutrition and Dietary unit.</w:t>
            </w:r>
          </w:p>
          <w:p w14:paraId="2DD51D75" w14:textId="77777777" w:rsidR="004522BE" w:rsidRDefault="004522BE" w:rsidP="004522BE">
            <w:pPr>
              <w:pStyle w:val="CompanyBlock"/>
              <w:tabs>
                <w:tab w:val="clear" w:pos="7155"/>
                <w:tab w:val="right" w:pos="7470"/>
              </w:tabs>
              <w:spacing w:before="200" w:after="0"/>
              <w:ind w:left="86"/>
              <w:rPr>
                <w:lang w:val="en-GB"/>
              </w:rPr>
            </w:pPr>
            <w:r w:rsidRPr="00491268">
              <w:rPr>
                <w:lang w:val="en-GB"/>
              </w:rPr>
              <w:t>Aristotle University of Thessaloniki, Faculty of Pharmacy</w:t>
            </w:r>
            <w:r>
              <w:rPr>
                <w:lang w:val="en-GB"/>
              </w:rPr>
              <w:tab/>
              <w:t>2012 – 2015</w:t>
            </w:r>
          </w:p>
          <w:p w14:paraId="6D5281CD" w14:textId="6252A470" w:rsidR="004522BE" w:rsidRDefault="004522BE" w:rsidP="0056233C">
            <w:pPr>
              <w:pStyle w:val="CompanyBlock"/>
              <w:ind w:left="86"/>
              <w:rPr>
                <w:lang w:val="en-GB"/>
              </w:rPr>
            </w:pPr>
            <w:r w:rsidRPr="007E43A9">
              <w:rPr>
                <w:lang w:val="en-GB"/>
              </w:rPr>
              <w:t>Research Associate - European JPND</w:t>
            </w:r>
            <w:r>
              <w:rPr>
                <w:lang w:val="en-GB"/>
              </w:rPr>
              <w:t xml:space="preserve"> </w:t>
            </w:r>
            <w:r w:rsidRPr="007E43A9">
              <w:rPr>
                <w:lang w:val="en-GB"/>
              </w:rPr>
              <w:t>program</w:t>
            </w:r>
            <w:r w:rsidR="0056233C">
              <w:rPr>
                <w:lang w:val="en-GB"/>
              </w:rPr>
              <w:t xml:space="preserve">                                                 </w:t>
            </w:r>
            <w:r>
              <w:rPr>
                <w:lang w:val="en-GB"/>
              </w:rPr>
              <w:t>(Supervisor: Theodoros Sklaviadis)</w:t>
            </w:r>
          </w:p>
          <w:p w14:paraId="114A93F4" w14:textId="77777777" w:rsidR="004522BE" w:rsidRDefault="004522BE" w:rsidP="004522BE">
            <w:pPr>
              <w:pStyle w:val="JDAccomplishment"/>
              <w:spacing w:before="60" w:after="60"/>
              <w:jc w:val="both"/>
              <w:rPr>
                <w:lang w:val="en-GB"/>
              </w:rPr>
            </w:pPr>
            <w:r>
              <w:rPr>
                <w:lang w:val="en-GB"/>
              </w:rPr>
              <w:t>Gained knowledge related to</w:t>
            </w:r>
            <w:r w:rsidRPr="00BC549F">
              <w:rPr>
                <w:lang w:val="en-GB"/>
              </w:rPr>
              <w:t xml:space="preserve"> project management, </w:t>
            </w:r>
            <w:r>
              <w:rPr>
                <w:lang w:val="en-GB"/>
              </w:rPr>
              <w:t>interacting</w:t>
            </w:r>
            <w:r w:rsidRPr="00BC549F">
              <w:rPr>
                <w:lang w:val="en-GB"/>
              </w:rPr>
              <w:t xml:space="preserve"> with patients, doctors</w:t>
            </w:r>
            <w:r>
              <w:rPr>
                <w:lang w:val="en-GB"/>
              </w:rPr>
              <w:t>,</w:t>
            </w:r>
            <w:r w:rsidRPr="00BC549F">
              <w:rPr>
                <w:lang w:val="en-GB"/>
              </w:rPr>
              <w:t xml:space="preserve"> and scientific boards of each hospital.</w:t>
            </w:r>
          </w:p>
          <w:p w14:paraId="751AC27E" w14:textId="77777777" w:rsidR="004522BE" w:rsidRDefault="004522BE" w:rsidP="004522BE">
            <w:pPr>
              <w:pStyle w:val="JDAccomplishment"/>
              <w:spacing w:before="60" w:after="60"/>
              <w:jc w:val="both"/>
              <w:rPr>
                <w:lang w:val="en-GB"/>
              </w:rPr>
            </w:pPr>
            <w:r>
              <w:rPr>
                <w:lang w:val="en-GB"/>
              </w:rPr>
              <w:t>Improved knowledge related to each hospital’s national policy and became</w:t>
            </w:r>
            <w:r w:rsidRPr="00BC549F">
              <w:rPr>
                <w:lang w:val="en-GB"/>
              </w:rPr>
              <w:t xml:space="preserve"> more flexible and communicative.</w:t>
            </w:r>
          </w:p>
          <w:p w14:paraId="1EA44739" w14:textId="77777777" w:rsidR="004522BE" w:rsidRDefault="004522BE" w:rsidP="004522BE">
            <w:pPr>
              <w:pStyle w:val="JDAccomplishment"/>
              <w:spacing w:before="60" w:after="60"/>
              <w:jc w:val="both"/>
              <w:rPr>
                <w:lang w:val="en-GB"/>
              </w:rPr>
            </w:pPr>
            <w:r>
              <w:rPr>
                <w:lang w:val="en-GB"/>
              </w:rPr>
              <w:t>Manged</w:t>
            </w:r>
            <w:r w:rsidRPr="00BC549F">
              <w:rPr>
                <w:lang w:val="en-GB"/>
              </w:rPr>
              <w:t xml:space="preserve"> </w:t>
            </w:r>
            <w:r w:rsidRPr="000B4083">
              <w:rPr>
                <w:lang w:val="en-GB"/>
              </w:rPr>
              <w:t>to map sCJD disease at the Greek level for the first time</w:t>
            </w:r>
            <w:r w:rsidRPr="00BC549F">
              <w:rPr>
                <w:lang w:val="en-GB"/>
              </w:rPr>
              <w:t>.</w:t>
            </w:r>
          </w:p>
          <w:p w14:paraId="1F4D1B78" w14:textId="31E6A30A" w:rsidR="004522BE" w:rsidRDefault="004522BE" w:rsidP="004522BE">
            <w:pPr>
              <w:pStyle w:val="JDAccomplishment"/>
              <w:spacing w:before="60" w:after="60"/>
              <w:jc w:val="both"/>
              <w:rPr>
                <w:lang w:val="en-GB"/>
              </w:rPr>
            </w:pPr>
            <w:r>
              <w:rPr>
                <w:lang w:val="en-GB"/>
              </w:rPr>
              <w:t>Identified</w:t>
            </w:r>
            <w:r w:rsidRPr="00BC549F">
              <w:rPr>
                <w:lang w:val="en-GB"/>
              </w:rPr>
              <w:t xml:space="preserve"> and </w:t>
            </w:r>
            <w:r>
              <w:rPr>
                <w:lang w:val="en-GB"/>
              </w:rPr>
              <w:t>qualified</w:t>
            </w:r>
            <w:r w:rsidRPr="00BC549F">
              <w:rPr>
                <w:lang w:val="en-GB"/>
              </w:rPr>
              <w:t xml:space="preserve"> the relevant biomarkers in the tested CSF samples by </w:t>
            </w:r>
            <w:r>
              <w:rPr>
                <w:lang w:val="en-GB"/>
              </w:rPr>
              <w:t>utilising</w:t>
            </w:r>
            <w:r w:rsidRPr="00BC549F">
              <w:rPr>
                <w:lang w:val="en-GB"/>
              </w:rPr>
              <w:t xml:space="preserve"> </w:t>
            </w:r>
            <w:r w:rsidRPr="003476ED">
              <w:t>We</w:t>
            </w:r>
            <w:r>
              <w:t xml:space="preserve">stern blotting, </w:t>
            </w:r>
            <w:r w:rsidRPr="00BC549F">
              <w:rPr>
                <w:lang w:val="en-GB"/>
              </w:rPr>
              <w:t>commercial ELISA kits</w:t>
            </w:r>
            <w:r>
              <w:rPr>
                <w:lang w:val="en-GB"/>
              </w:rPr>
              <w:t xml:space="preserve"> and RT-QuIC</w:t>
            </w:r>
          </w:p>
          <w:p w14:paraId="7809823B" w14:textId="05A94764" w:rsidR="004522BE" w:rsidRPr="004522BE" w:rsidRDefault="004522BE" w:rsidP="004522BE">
            <w:pPr>
              <w:pStyle w:val="JDAccomplishment"/>
              <w:spacing w:before="60" w:after="60"/>
              <w:jc w:val="both"/>
              <w:rPr>
                <w:lang w:val="en-GB"/>
              </w:rPr>
            </w:pPr>
            <w:r>
              <w:rPr>
                <w:lang w:val="en-GB"/>
              </w:rPr>
              <w:t>Lab assistant in Pharmacology classes for undergraduate students of the Faculty of Pharmacy</w:t>
            </w:r>
          </w:p>
          <w:p w14:paraId="6C238230" w14:textId="77777777" w:rsidR="004522BE" w:rsidRDefault="004522BE" w:rsidP="004522BE">
            <w:pPr>
              <w:pStyle w:val="JDAccomplishment"/>
              <w:spacing w:before="60" w:after="60"/>
              <w:jc w:val="both"/>
              <w:rPr>
                <w:lang w:val="en-GB"/>
              </w:rPr>
            </w:pPr>
            <w:r>
              <w:rPr>
                <w:lang w:val="en-GB"/>
              </w:rPr>
              <w:t>Attended</w:t>
            </w:r>
            <w:r w:rsidRPr="00BC549F">
              <w:rPr>
                <w:lang w:val="en-GB"/>
              </w:rPr>
              <w:t xml:space="preserve"> workshops between European countries, where I was one of the main persons involved in the project development and report delivery.</w:t>
            </w:r>
          </w:p>
          <w:p w14:paraId="2946631A" w14:textId="77777777" w:rsidR="004522BE" w:rsidRPr="00491268" w:rsidRDefault="004522BE" w:rsidP="004522BE">
            <w:pPr>
              <w:pStyle w:val="Summary"/>
              <w:spacing w:after="180"/>
              <w:rPr>
                <w:lang w:val="en-GB"/>
              </w:rPr>
            </w:pPr>
          </w:p>
        </w:tc>
      </w:tr>
    </w:tbl>
    <w:bookmarkEnd w:id="0"/>
    <w:p w14:paraId="52E28416" w14:textId="136BD40F" w:rsidR="00BA22C7" w:rsidRDefault="00D77B53" w:rsidP="00BA22C7">
      <w:pPr>
        <w:pStyle w:val="CompanyBlock"/>
        <w:tabs>
          <w:tab w:val="clear" w:pos="7155"/>
          <w:tab w:val="right" w:pos="10620"/>
        </w:tabs>
        <w:spacing w:before="200" w:after="0"/>
        <w:ind w:right="-180"/>
        <w:rPr>
          <w:lang w:val="en-GB"/>
        </w:rPr>
      </w:pPr>
      <w:r>
        <w:rPr>
          <w:lang w:val="en-GB"/>
        </w:rPr>
        <w:lastRenderedPageBreak/>
        <w:t>,</w:t>
      </w:r>
    </w:p>
    <w:p w14:paraId="49C1AC33" w14:textId="77777777" w:rsidR="002F4EDE" w:rsidRDefault="002F4EDE" w:rsidP="00BA22C7">
      <w:pPr>
        <w:pStyle w:val="CompanyBlock"/>
        <w:tabs>
          <w:tab w:val="clear" w:pos="7155"/>
          <w:tab w:val="right" w:pos="10620"/>
        </w:tabs>
        <w:spacing w:before="200" w:after="0"/>
        <w:ind w:right="-180"/>
        <w:rPr>
          <w:lang w:val="en-GB"/>
        </w:rPr>
      </w:pPr>
    </w:p>
    <w:p w14:paraId="057013E2" w14:textId="5905ACC3" w:rsidR="00BA22C7" w:rsidRDefault="00BA22C7" w:rsidP="00BA22C7">
      <w:pPr>
        <w:pStyle w:val="CompanyBlock"/>
        <w:tabs>
          <w:tab w:val="clear" w:pos="7155"/>
          <w:tab w:val="right" w:pos="10620"/>
        </w:tabs>
        <w:spacing w:before="200" w:after="0"/>
        <w:ind w:right="-180"/>
        <w:rPr>
          <w:lang w:val="en-GB"/>
        </w:rPr>
      </w:pPr>
      <w:r w:rsidRPr="00491268">
        <w:rPr>
          <w:lang w:val="en-GB"/>
        </w:rPr>
        <w:t>Aristotle University of Thessaloniki, Faculty of Pharmacy</w:t>
      </w:r>
      <w:r>
        <w:rPr>
          <w:lang w:val="en-GB"/>
        </w:rPr>
        <w:t xml:space="preserve">                                                                        2011 – 2012</w:t>
      </w:r>
    </w:p>
    <w:p w14:paraId="37B76DA3" w14:textId="685F3490" w:rsidR="00BA22C7" w:rsidRDefault="00BA22C7" w:rsidP="00BA22C7">
      <w:pPr>
        <w:pStyle w:val="CompanyBlock"/>
        <w:rPr>
          <w:lang w:val="en-GB"/>
        </w:rPr>
      </w:pPr>
      <w:r w:rsidRPr="007E43A9">
        <w:rPr>
          <w:lang w:val="en-GB"/>
        </w:rPr>
        <w:t>Research Associate</w:t>
      </w:r>
      <w:r>
        <w:rPr>
          <w:lang w:val="en-GB"/>
        </w:rPr>
        <w:t xml:space="preserve"> (Undergraduate Student)</w:t>
      </w:r>
      <w:r w:rsidR="00AE171F">
        <w:rPr>
          <w:lang w:val="en-GB"/>
        </w:rPr>
        <w:t xml:space="preserve"> (Supervisor: Theodoros Sklaviadis)</w:t>
      </w:r>
    </w:p>
    <w:p w14:paraId="7CED098D" w14:textId="531C0919" w:rsidR="00BA22C7" w:rsidRDefault="00BA22C7" w:rsidP="00BA22C7">
      <w:pPr>
        <w:pStyle w:val="JDAccomplishment"/>
        <w:numPr>
          <w:ilvl w:val="0"/>
          <w:numId w:val="9"/>
        </w:numPr>
        <w:spacing w:before="60" w:after="60"/>
        <w:ind w:left="360" w:hanging="274"/>
        <w:contextualSpacing w:val="0"/>
        <w:jc w:val="both"/>
        <w:rPr>
          <w:lang w:val="en-GB"/>
        </w:rPr>
      </w:pPr>
      <w:r>
        <w:rPr>
          <w:lang w:val="en-GB"/>
        </w:rPr>
        <w:t xml:space="preserve">Processed more than 50 </w:t>
      </w:r>
      <w:r w:rsidR="00F50A4B">
        <w:rPr>
          <w:lang w:val="en-GB"/>
        </w:rPr>
        <w:t xml:space="preserve">CSF </w:t>
      </w:r>
      <w:r>
        <w:rPr>
          <w:lang w:val="en-GB"/>
        </w:rPr>
        <w:t>samples through constant interaction between the neurological department of the country and the lab.</w:t>
      </w:r>
    </w:p>
    <w:p w14:paraId="3223DFF3" w14:textId="0CE41F01" w:rsidR="00BA22C7" w:rsidRPr="00BA22C7" w:rsidRDefault="00BA22C7" w:rsidP="00BA22C7">
      <w:pPr>
        <w:pStyle w:val="JDAccomplishment"/>
        <w:numPr>
          <w:ilvl w:val="0"/>
          <w:numId w:val="9"/>
        </w:numPr>
        <w:spacing w:before="60" w:after="60"/>
        <w:ind w:left="360" w:hanging="274"/>
        <w:contextualSpacing w:val="0"/>
        <w:jc w:val="both"/>
        <w:rPr>
          <w:lang w:val="en-GB"/>
        </w:rPr>
      </w:pPr>
      <w:r>
        <w:rPr>
          <w:lang w:val="en-GB"/>
        </w:rPr>
        <w:t xml:space="preserve">Improved knowledge related to </w:t>
      </w:r>
      <w:r w:rsidRPr="00BA22C7">
        <w:rPr>
          <w:lang w:val="en-GB"/>
        </w:rPr>
        <w:t>basic safety rules that should be followed when working with highly dangerous materials (work in a P3 security level room). Techniques: Western Blotting</w:t>
      </w:r>
      <w:r w:rsidR="00F50A4B">
        <w:rPr>
          <w:lang w:val="en-GB"/>
        </w:rPr>
        <w:t>, Image J</w:t>
      </w:r>
    </w:p>
    <w:p w14:paraId="336C78E3" w14:textId="2DE72B2A" w:rsidR="00BA22C7" w:rsidRPr="00BA22C7" w:rsidRDefault="00BA22C7" w:rsidP="00BA22C7">
      <w:pPr>
        <w:pStyle w:val="SectionHeading"/>
        <w:rPr>
          <w:lang w:val="en-GB"/>
        </w:rPr>
      </w:pPr>
      <w:r w:rsidRPr="00BA22C7">
        <w:rPr>
          <w:lang w:val="en-GB"/>
        </w:rPr>
        <w:t>Additional Experience</w:t>
      </w:r>
    </w:p>
    <w:p w14:paraId="636677CD" w14:textId="52316E3B" w:rsidR="00BA22C7" w:rsidRDefault="00BA22C7" w:rsidP="00BA22C7">
      <w:pPr>
        <w:pStyle w:val="SectionHeading"/>
        <w:spacing w:before="0" w:after="0"/>
        <w:rPr>
          <w:rFonts w:ascii="Helvetica" w:hAnsi="Helvetica"/>
          <w:b w:val="0"/>
          <w:bCs w:val="0"/>
          <w:color w:val="505050"/>
          <w:sz w:val="20"/>
          <w:szCs w:val="20"/>
          <w:lang w:val="en-GB"/>
        </w:rPr>
      </w:pPr>
      <w:r w:rsidRPr="002815DD">
        <w:rPr>
          <w:rFonts w:ascii="Helvetica" w:hAnsi="Helvetica"/>
          <w:color w:val="505050"/>
          <w:sz w:val="20"/>
          <w:szCs w:val="20"/>
          <w:lang w:val="en-GB"/>
        </w:rPr>
        <w:t>Pharmacist Intern</w:t>
      </w:r>
      <w:r>
        <w:rPr>
          <w:rFonts w:ascii="Helvetica" w:hAnsi="Helvetica"/>
          <w:b w:val="0"/>
          <w:bCs w:val="0"/>
          <w:color w:val="505050"/>
          <w:sz w:val="20"/>
          <w:szCs w:val="20"/>
          <w:lang w:val="en-GB"/>
        </w:rPr>
        <w:t xml:space="preserve"> | </w:t>
      </w:r>
      <w:r w:rsidRPr="002815DD">
        <w:rPr>
          <w:rFonts w:ascii="Helvetica" w:hAnsi="Helvetica"/>
          <w:b w:val="0"/>
          <w:bCs w:val="0"/>
          <w:color w:val="505050"/>
          <w:sz w:val="20"/>
          <w:szCs w:val="20"/>
          <w:lang w:val="en-GB"/>
        </w:rPr>
        <w:t>Private Pharmacy of Megalidou Theodora, Greece</w:t>
      </w:r>
      <w:r w:rsidR="00CC4B60">
        <w:rPr>
          <w:rFonts w:ascii="Helvetica" w:hAnsi="Helvetica"/>
          <w:b w:val="0"/>
          <w:bCs w:val="0"/>
          <w:color w:val="505050"/>
          <w:sz w:val="20"/>
          <w:szCs w:val="20"/>
          <w:lang w:val="en-GB"/>
        </w:rPr>
        <w:t xml:space="preserve">                   </w:t>
      </w:r>
    </w:p>
    <w:p w14:paraId="25CB5B08" w14:textId="4D5EB4D6" w:rsidR="00BA22C7" w:rsidRDefault="00BA22C7" w:rsidP="009D31B8">
      <w:pPr>
        <w:pStyle w:val="Summary"/>
        <w:spacing w:after="180"/>
        <w:rPr>
          <w:lang w:val="en-GB"/>
        </w:rPr>
      </w:pPr>
      <w:r w:rsidRPr="002815DD">
        <w:rPr>
          <w:b/>
          <w:bCs/>
          <w:lang w:val="en-GB"/>
        </w:rPr>
        <w:t>Pharmacist Intern</w:t>
      </w:r>
      <w:r>
        <w:rPr>
          <w:lang w:val="en-GB"/>
        </w:rPr>
        <w:t xml:space="preserve"> | </w:t>
      </w:r>
      <w:r w:rsidRPr="002815DD">
        <w:rPr>
          <w:lang w:val="en-GB"/>
        </w:rPr>
        <w:t>AHEPA University General Hospital of Thessaloniki</w:t>
      </w:r>
      <w:r w:rsidR="00CC4B60">
        <w:rPr>
          <w:lang w:val="en-GB"/>
        </w:rPr>
        <w:t xml:space="preserve">                  </w:t>
      </w:r>
    </w:p>
    <w:p w14:paraId="62E227F6" w14:textId="2A5D5931" w:rsidR="00AC40AD" w:rsidRPr="00740B19" w:rsidRDefault="00230403" w:rsidP="00CC4B60">
      <w:pPr>
        <w:pStyle w:val="SectionHeading"/>
        <w:spacing w:before="0"/>
        <w:rPr>
          <w:lang w:val="en-GB"/>
        </w:rPr>
      </w:pPr>
      <w:r>
        <w:rPr>
          <w:lang w:val="en-GB"/>
        </w:rPr>
        <w:t xml:space="preserve">Publications </w:t>
      </w:r>
    </w:p>
    <w:p w14:paraId="4F2832ED" w14:textId="5B808D53" w:rsidR="00230403" w:rsidRDefault="00230403" w:rsidP="00E93392">
      <w:pPr>
        <w:pStyle w:val="JDAccomplishment"/>
        <w:spacing w:before="80" w:after="80"/>
        <w:ind w:left="260" w:hanging="274"/>
        <w:contextualSpacing w:val="0"/>
        <w:jc w:val="both"/>
        <w:rPr>
          <w:lang w:val="en-GB"/>
        </w:rPr>
      </w:pPr>
      <w:r w:rsidRPr="005A4F77">
        <w:rPr>
          <w:b/>
          <w:bCs/>
          <w:lang w:val="en-GB"/>
        </w:rPr>
        <w:t>Orgeta Zejneli</w:t>
      </w:r>
      <w:r w:rsidRPr="00230403">
        <w:rPr>
          <w:lang w:val="en-GB"/>
        </w:rPr>
        <w:t>, Angeliki Kokkini, Eirini Kanata, Theodoros Karapanayiotides, Maria Cramm, Matthias Schmitz, Nicolaos</w:t>
      </w:r>
      <w:r>
        <w:rPr>
          <w:lang w:val="en-GB"/>
        </w:rPr>
        <w:t xml:space="preserve"> </w:t>
      </w:r>
      <w:r w:rsidRPr="00230403">
        <w:rPr>
          <w:lang w:val="en-GB"/>
        </w:rPr>
        <w:t>Grigoriadis, Inga Zerr, Anna Nicolaou, Theodoros Sklaviadis Multi-variable approach to gain increased sCJD premortem diagnosis in a cohort of Greek patients with suspected sCJD. Currently under revision</w:t>
      </w:r>
      <w:r>
        <w:rPr>
          <w:lang w:val="en-GB"/>
        </w:rPr>
        <w:t>.</w:t>
      </w:r>
    </w:p>
    <w:p w14:paraId="2C96B0C2" w14:textId="32094E9E" w:rsidR="00230403" w:rsidRDefault="00230403" w:rsidP="00E93392">
      <w:pPr>
        <w:pStyle w:val="JDAccomplishment"/>
        <w:spacing w:before="80" w:after="80"/>
        <w:ind w:left="260" w:hanging="274"/>
        <w:contextualSpacing w:val="0"/>
        <w:jc w:val="both"/>
        <w:rPr>
          <w:lang w:val="en-GB"/>
        </w:rPr>
      </w:pPr>
      <w:r w:rsidRPr="00230403">
        <w:rPr>
          <w:lang w:val="en-GB"/>
        </w:rPr>
        <w:t xml:space="preserve">Clément Danis*, Elian Dupré*, </w:t>
      </w:r>
      <w:r w:rsidRPr="005A4F77">
        <w:rPr>
          <w:b/>
          <w:bCs/>
          <w:lang w:val="en-GB"/>
        </w:rPr>
        <w:t>Orgeta Zejneli*,</w:t>
      </w:r>
      <w:r w:rsidRPr="00230403">
        <w:rPr>
          <w:lang w:val="en-GB"/>
        </w:rPr>
        <w:t xml:space="preserve"> Raphaëlle Caillierez, Alexis Arrial, Séverine Bégard, Anne Loyens,</w:t>
      </w:r>
      <w:r>
        <w:rPr>
          <w:lang w:val="en-GB"/>
        </w:rPr>
        <w:t xml:space="preserve"> </w:t>
      </w:r>
      <w:r w:rsidRPr="00230403">
        <w:rPr>
          <w:lang w:val="en-GB"/>
        </w:rPr>
        <w:t>Justine Mortelecque, François Xavier Cantrelle, Xavier Hanoulle, Jean-Christophe Rain, Morvane Colin, Luc Buée, Isabelle</w:t>
      </w:r>
      <w:r>
        <w:rPr>
          <w:lang w:val="en-GB"/>
        </w:rPr>
        <w:t xml:space="preserve"> </w:t>
      </w:r>
      <w:r w:rsidRPr="00230403">
        <w:rPr>
          <w:lang w:val="en-GB"/>
        </w:rPr>
        <w:t>Landrieu Inhibition of Tau seeding by targeting Tau nucleation core within neurons with a single domain antibody</w:t>
      </w:r>
      <w:r>
        <w:rPr>
          <w:lang w:val="en-GB"/>
        </w:rPr>
        <w:t xml:space="preserve"> </w:t>
      </w:r>
      <w:r w:rsidRPr="00230403">
        <w:rPr>
          <w:lang w:val="en-GB"/>
        </w:rPr>
        <w:t xml:space="preserve">fragment. Mol.Therap. 2022 Jan 7; S1525-0016(22)00009-0. </w:t>
      </w:r>
      <w:hyperlink r:id="rId8" w:history="1">
        <w:r w:rsidRPr="00392CF9">
          <w:rPr>
            <w:rStyle w:val="Lienhypertexte"/>
            <w:lang w:val="en-GB"/>
          </w:rPr>
          <w:t>https://doi.org/10.1016/j.ymthe.2022.01.009</w:t>
        </w:r>
      </w:hyperlink>
      <w:r w:rsidRPr="00230403">
        <w:rPr>
          <w:lang w:val="en-GB"/>
        </w:rPr>
        <w:t>.</w:t>
      </w:r>
      <w:r>
        <w:rPr>
          <w:lang w:val="en-GB"/>
        </w:rPr>
        <w:t xml:space="preserve"> </w:t>
      </w:r>
      <w:r w:rsidRPr="00230403">
        <w:rPr>
          <w:lang w:val="en-GB"/>
        </w:rPr>
        <w:t>PMID: 35007758 * Equal contribution</w:t>
      </w:r>
    </w:p>
    <w:p w14:paraId="52F91AE5" w14:textId="6035DAAB" w:rsidR="00230403" w:rsidRDefault="00230403" w:rsidP="00E93392">
      <w:pPr>
        <w:pStyle w:val="JDAccomplishment"/>
        <w:spacing w:before="80" w:after="80"/>
        <w:ind w:left="260" w:hanging="274"/>
        <w:contextualSpacing w:val="0"/>
        <w:jc w:val="both"/>
        <w:rPr>
          <w:lang w:val="en-GB"/>
        </w:rPr>
      </w:pPr>
      <w:r w:rsidRPr="00230403">
        <w:rPr>
          <w:lang w:val="en-GB"/>
        </w:rPr>
        <w:t xml:space="preserve">Pascale Barbier, </w:t>
      </w:r>
      <w:r w:rsidRPr="005A4F77">
        <w:rPr>
          <w:b/>
          <w:bCs/>
          <w:lang w:val="en-GB"/>
        </w:rPr>
        <w:t>Orgeta Zejneli</w:t>
      </w:r>
      <w:r w:rsidRPr="00230403">
        <w:rPr>
          <w:lang w:val="en-GB"/>
        </w:rPr>
        <w:t>, Marlène Martinho, Alessia Lasorsa, Valérie Belle, Caroline Smet-Nocca, Philipp O</w:t>
      </w:r>
      <w:r>
        <w:rPr>
          <w:lang w:val="en-GB"/>
        </w:rPr>
        <w:t xml:space="preserve"> </w:t>
      </w:r>
      <w:r w:rsidRPr="00230403">
        <w:rPr>
          <w:lang w:val="en-GB"/>
        </w:rPr>
        <w:t>Tsvetkov, François Devred, Isabelle Landrieu Role of Tau as a Microtubule-Associated Protein: Structural and</w:t>
      </w:r>
      <w:r>
        <w:rPr>
          <w:lang w:val="en-GB"/>
        </w:rPr>
        <w:t xml:space="preserve"> </w:t>
      </w:r>
      <w:r w:rsidRPr="00230403">
        <w:rPr>
          <w:lang w:val="en-GB"/>
        </w:rPr>
        <w:t xml:space="preserve">Functional Aspects. Frontiers Ageing Neuroscience. 2019 Aug 7; 11:204. </w:t>
      </w:r>
      <w:hyperlink r:id="rId9" w:history="1">
        <w:r w:rsidRPr="00392CF9">
          <w:rPr>
            <w:rStyle w:val="Lienhypertexte"/>
            <w:lang w:val="en-GB"/>
          </w:rPr>
          <w:t>https://doi.org/10.3389/fnagi.2019.00204</w:t>
        </w:r>
      </w:hyperlink>
      <w:r w:rsidRPr="00230403">
        <w:rPr>
          <w:lang w:val="en-GB"/>
        </w:rPr>
        <w:t>.</w:t>
      </w:r>
      <w:r>
        <w:rPr>
          <w:lang w:val="en-GB"/>
        </w:rPr>
        <w:t xml:space="preserve"> </w:t>
      </w:r>
      <w:r w:rsidRPr="00230403">
        <w:rPr>
          <w:lang w:val="en-GB"/>
        </w:rPr>
        <w:t>PMID: 31447664</w:t>
      </w:r>
    </w:p>
    <w:p w14:paraId="072204F7" w14:textId="34CD74DE" w:rsidR="00AC40AD" w:rsidRPr="00414540" w:rsidRDefault="00230403" w:rsidP="00414540">
      <w:pPr>
        <w:pStyle w:val="JDAccomplishment"/>
        <w:spacing w:before="80" w:after="80"/>
        <w:ind w:left="260" w:hanging="274"/>
        <w:contextualSpacing w:val="0"/>
        <w:jc w:val="both"/>
        <w:rPr>
          <w:lang w:val="en-GB"/>
        </w:rPr>
      </w:pPr>
      <w:r w:rsidRPr="00230403">
        <w:rPr>
          <w:lang w:val="en-GB"/>
        </w:rPr>
        <w:t xml:space="preserve">Llorens F, Kruse N, Schmitz M, Gotzmann N, Golanska E, Thüne K, </w:t>
      </w:r>
      <w:r w:rsidRPr="005A4F77">
        <w:rPr>
          <w:b/>
          <w:bCs/>
          <w:lang w:val="en-GB"/>
        </w:rPr>
        <w:t>Zejneli O,</w:t>
      </w:r>
      <w:r w:rsidRPr="00230403">
        <w:rPr>
          <w:lang w:val="en-GB"/>
        </w:rPr>
        <w:t xml:space="preserve"> Kanata E, Knipper T, Cramm M, Lange</w:t>
      </w:r>
      <w:r>
        <w:rPr>
          <w:lang w:val="en-GB"/>
        </w:rPr>
        <w:t xml:space="preserve"> </w:t>
      </w:r>
      <w:r w:rsidRPr="00230403">
        <w:rPr>
          <w:lang w:val="en-GB"/>
        </w:rPr>
        <w:t>P, Zafar S, Sikorska B, Liberski PP, Mitrova E, Varges D, Schmidt C, Sklaviadis T, Mollenhauer B, Zerr I. Evaluation of</w:t>
      </w:r>
      <w:r>
        <w:rPr>
          <w:lang w:val="en-GB"/>
        </w:rPr>
        <w:t xml:space="preserve"> </w:t>
      </w:r>
      <w:r w:rsidRPr="00230403">
        <w:rPr>
          <w:lang w:val="en-GB"/>
        </w:rPr>
        <w:t>α-synuclein as a novel cerebrospinal fluid biomarker in different forms of prion diseases. Alzheimers Dementia. 2017</w:t>
      </w:r>
      <w:r>
        <w:rPr>
          <w:lang w:val="en-GB"/>
        </w:rPr>
        <w:t xml:space="preserve"> </w:t>
      </w:r>
      <w:r w:rsidRPr="00230403">
        <w:rPr>
          <w:lang w:val="en-GB"/>
        </w:rPr>
        <w:t xml:space="preserve">June;13(6):710-719. </w:t>
      </w:r>
      <w:hyperlink r:id="rId10" w:history="1">
        <w:r w:rsidRPr="00392CF9">
          <w:rPr>
            <w:rStyle w:val="Lienhypertexte"/>
            <w:lang w:val="en-GB"/>
          </w:rPr>
          <w:t>https://doi.org/10.1016/j.jalz.2016.09.013</w:t>
        </w:r>
      </w:hyperlink>
      <w:r w:rsidRPr="00230403">
        <w:rPr>
          <w:lang w:val="en-GB"/>
        </w:rPr>
        <w:t>. Epub 2016 Nov 18. PMID: 27870938</w:t>
      </w:r>
    </w:p>
    <w:p w14:paraId="7B4C814E" w14:textId="25736A4D" w:rsidR="00E41AEF" w:rsidRPr="00740B19" w:rsidRDefault="009D31B8" w:rsidP="00E41AEF">
      <w:pPr>
        <w:pStyle w:val="SectionHeading"/>
        <w:rPr>
          <w:lang w:val="en-GB"/>
        </w:rPr>
      </w:pPr>
      <w:r>
        <w:rPr>
          <w:lang w:val="en-GB"/>
        </w:rPr>
        <w:t xml:space="preserve">Selected </w:t>
      </w:r>
      <w:r w:rsidR="00414540">
        <w:rPr>
          <w:lang w:val="en-GB"/>
        </w:rPr>
        <w:t>Conferences &amp; Presentations</w:t>
      </w:r>
    </w:p>
    <w:p w14:paraId="09514712" w14:textId="77777777" w:rsidR="002046CA" w:rsidRPr="002046CA" w:rsidRDefault="005F278D" w:rsidP="00861A40">
      <w:pPr>
        <w:pStyle w:val="JDAccomplishment"/>
        <w:spacing w:before="80" w:after="80"/>
        <w:ind w:left="260" w:hanging="274"/>
        <w:contextualSpacing w:val="0"/>
        <w:jc w:val="both"/>
        <w:rPr>
          <w:b/>
          <w:bCs/>
          <w:lang w:val="en-GB"/>
        </w:rPr>
      </w:pPr>
      <w:r>
        <w:t xml:space="preserve">Zejneli O, et al. </w:t>
      </w:r>
      <w:r w:rsidRPr="00B70AD9">
        <w:rPr>
          <w:b/>
          <w:bCs/>
          <w:i/>
          <w:iCs/>
        </w:rPr>
        <w:t>A VHH directed against tau as a novel therapeutic approach in tauopathies?</w:t>
      </w:r>
      <w:r>
        <w:t xml:space="preserve"> NeuroFrance, Oral communication. May 2021 </w:t>
      </w:r>
    </w:p>
    <w:p w14:paraId="25408558" w14:textId="77777777" w:rsidR="002046CA" w:rsidRPr="002046CA" w:rsidRDefault="005F278D" w:rsidP="00861A40">
      <w:pPr>
        <w:pStyle w:val="JDAccomplishment"/>
        <w:spacing w:before="80" w:after="80"/>
        <w:ind w:left="260" w:hanging="274"/>
        <w:contextualSpacing w:val="0"/>
        <w:jc w:val="both"/>
        <w:rPr>
          <w:b/>
          <w:bCs/>
          <w:lang w:val="en-GB"/>
        </w:rPr>
      </w:pPr>
      <w:r>
        <w:t xml:space="preserve">Zejneli O, et al. </w:t>
      </w:r>
      <w:r w:rsidRPr="00B70AD9">
        <w:rPr>
          <w:b/>
          <w:bCs/>
          <w:i/>
          <w:iCs/>
        </w:rPr>
        <w:t>A VHH directed against tau as a novel therapeutic approach in tauopathies?</w:t>
      </w:r>
      <w:r>
        <w:t xml:space="preserve"> Alzheimer’s Disease and Parkinson’s Disease (ADPD). Oral communication. March 2021 </w:t>
      </w:r>
    </w:p>
    <w:p w14:paraId="2BDC0291" w14:textId="77777777" w:rsidR="002046CA" w:rsidRPr="002046CA" w:rsidRDefault="005F278D" w:rsidP="00861A40">
      <w:pPr>
        <w:pStyle w:val="JDAccomplishment"/>
        <w:spacing w:before="80" w:after="80"/>
        <w:ind w:left="260" w:hanging="274"/>
        <w:contextualSpacing w:val="0"/>
        <w:jc w:val="both"/>
        <w:rPr>
          <w:b/>
          <w:bCs/>
          <w:lang w:val="en-GB"/>
        </w:rPr>
      </w:pPr>
      <w:r>
        <w:t xml:space="preserve">Zejneli O, et al. </w:t>
      </w:r>
      <w:r w:rsidRPr="00B70AD9">
        <w:rPr>
          <w:b/>
          <w:bCs/>
          <w:i/>
          <w:iCs/>
        </w:rPr>
        <w:t>A VHH directed against tau as a novel therapeutic approach in tauopathies?</w:t>
      </w:r>
      <w:r>
        <w:t xml:space="preserve"> American Association International Conference (AAIC). Poster. November 2020 </w:t>
      </w:r>
    </w:p>
    <w:p w14:paraId="1E7B84A8" w14:textId="62CBFE0E" w:rsidR="002046CA" w:rsidRPr="002046CA" w:rsidRDefault="005F278D" w:rsidP="00861A40">
      <w:pPr>
        <w:pStyle w:val="JDAccomplishment"/>
        <w:spacing w:before="80" w:after="80"/>
        <w:ind w:left="260" w:hanging="274"/>
        <w:contextualSpacing w:val="0"/>
        <w:jc w:val="both"/>
        <w:rPr>
          <w:b/>
          <w:bCs/>
          <w:lang w:val="en-GB"/>
        </w:rPr>
      </w:pPr>
      <w:r>
        <w:t xml:space="preserve">Zejneli O, et al. </w:t>
      </w:r>
      <w:r w:rsidRPr="00B70AD9">
        <w:rPr>
          <w:b/>
          <w:bCs/>
          <w:i/>
          <w:iCs/>
        </w:rPr>
        <w:t>A VHH directed against tau as a novel therapeutic approach in tauopathies?</w:t>
      </w:r>
      <w:r>
        <w:t xml:space="preserve"> Oral communication and Poster. New Frontiers in </w:t>
      </w:r>
      <w:r w:rsidR="002046CA">
        <w:t>Structure-Based</w:t>
      </w:r>
      <w:r>
        <w:t xml:space="preserve"> Drug Discovery. Florence, Italy. September 2019. </w:t>
      </w:r>
    </w:p>
    <w:p w14:paraId="53ADBA1E" w14:textId="3D5A861C" w:rsidR="002046CA" w:rsidRPr="002046CA" w:rsidRDefault="005F278D" w:rsidP="00861A40">
      <w:pPr>
        <w:pStyle w:val="JDAccomplishment"/>
        <w:spacing w:before="80" w:after="80"/>
        <w:ind w:left="260" w:hanging="274"/>
        <w:contextualSpacing w:val="0"/>
        <w:jc w:val="both"/>
        <w:rPr>
          <w:b/>
          <w:bCs/>
          <w:lang w:val="en-GB"/>
        </w:rPr>
      </w:pPr>
      <w:r>
        <w:t xml:space="preserve">Zejneli O, et al. </w:t>
      </w:r>
      <w:r w:rsidRPr="00B70AD9">
        <w:rPr>
          <w:b/>
          <w:bCs/>
          <w:i/>
          <w:iCs/>
        </w:rPr>
        <w:t xml:space="preserve">NMR as a powerful tool to identify the target epitopes of </w:t>
      </w:r>
      <w:r w:rsidR="002046CA" w:rsidRPr="00B70AD9">
        <w:rPr>
          <w:b/>
          <w:bCs/>
          <w:i/>
          <w:iCs/>
        </w:rPr>
        <w:t>single-domain</w:t>
      </w:r>
      <w:r w:rsidRPr="00B70AD9">
        <w:rPr>
          <w:b/>
          <w:bCs/>
          <w:i/>
          <w:iCs/>
        </w:rPr>
        <w:t xml:space="preserve"> antibodies for immunotherapeutic approaches in tauopathies</w:t>
      </w:r>
      <w:r>
        <w:t xml:space="preserve">. Poster. NMR a tool for biology. Paris, France. January 2019 </w:t>
      </w:r>
    </w:p>
    <w:p w14:paraId="1E88788D" w14:textId="09CC4E46" w:rsidR="00CC4B60" w:rsidRPr="00DD333B" w:rsidRDefault="005F278D" w:rsidP="00DD333B">
      <w:pPr>
        <w:pStyle w:val="JDAccomplishment"/>
        <w:spacing w:before="80" w:after="80"/>
        <w:ind w:left="260" w:hanging="274"/>
        <w:contextualSpacing w:val="0"/>
        <w:jc w:val="both"/>
        <w:rPr>
          <w:b/>
          <w:bCs/>
          <w:lang w:val="en-GB"/>
        </w:rPr>
      </w:pPr>
      <w:r>
        <w:t xml:space="preserve">Zejneli O, et al. </w:t>
      </w:r>
      <w:r w:rsidRPr="00B70AD9">
        <w:rPr>
          <w:b/>
          <w:bCs/>
          <w:i/>
          <w:iCs/>
        </w:rPr>
        <w:t xml:space="preserve">Evaluation of the diagnostic potential of 14-3-3 testing in </w:t>
      </w:r>
      <w:r w:rsidR="002046CA" w:rsidRPr="00B70AD9">
        <w:rPr>
          <w:b/>
          <w:bCs/>
          <w:i/>
          <w:iCs/>
        </w:rPr>
        <w:t>blood-contaminated</w:t>
      </w:r>
      <w:r w:rsidRPr="00B70AD9">
        <w:rPr>
          <w:b/>
          <w:bCs/>
          <w:i/>
          <w:iCs/>
        </w:rPr>
        <w:t xml:space="preserve"> CSF samples, utilizing sporadic CJD correlated biomarkers</w:t>
      </w:r>
      <w:r>
        <w:t xml:space="preserve"> (t-Tau, Aβ (1-42)). Poster. Prion, Trieste, Italy. May 2014 </w:t>
      </w:r>
    </w:p>
    <w:sectPr w:rsidR="00CC4B60" w:rsidRPr="00DD333B" w:rsidSect="009057A1">
      <w:footerReference w:type="default" r:id="rId11"/>
      <w:pgSz w:w="11900" w:h="16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4C9302" w14:textId="77777777" w:rsidR="002C3F96" w:rsidRDefault="002C3F96" w:rsidP="00641691">
      <w:r>
        <w:separator/>
      </w:r>
    </w:p>
  </w:endnote>
  <w:endnote w:type="continuationSeparator" w:id="0">
    <w:p w14:paraId="5D1C6F5C" w14:textId="77777777" w:rsidR="002C3F96" w:rsidRDefault="002C3F96" w:rsidP="00641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1E1B3" w14:textId="77777777" w:rsidR="00641691" w:rsidRPr="00ED4580" w:rsidRDefault="00641691">
    <w:pPr>
      <w:tabs>
        <w:tab w:val="center" w:pos="4550"/>
        <w:tab w:val="left" w:pos="5818"/>
      </w:tabs>
      <w:ind w:right="260"/>
      <w:jc w:val="right"/>
      <w:rPr>
        <w:rFonts w:ascii="Palatino Linotype" w:hAnsi="Palatino Linotype"/>
        <w:color w:val="0F5581"/>
        <w:sz w:val="18"/>
        <w:szCs w:val="18"/>
      </w:rPr>
    </w:pPr>
    <w:r w:rsidRPr="00ED4580">
      <w:rPr>
        <w:rFonts w:ascii="Palatino Linotype" w:hAnsi="Palatino Linotype"/>
        <w:color w:val="0F5581"/>
        <w:spacing w:val="60"/>
        <w:sz w:val="18"/>
        <w:szCs w:val="18"/>
      </w:rPr>
      <w:t>Page</w:t>
    </w:r>
    <w:r w:rsidRPr="00ED4580">
      <w:rPr>
        <w:rFonts w:ascii="Palatino Linotype" w:hAnsi="Palatino Linotype"/>
        <w:color w:val="0F5581"/>
        <w:sz w:val="18"/>
        <w:szCs w:val="18"/>
      </w:rPr>
      <w:t xml:space="preserve"> </w:t>
    </w:r>
    <w:r w:rsidRPr="00ED4580">
      <w:rPr>
        <w:rFonts w:ascii="Palatino Linotype" w:hAnsi="Palatino Linotype"/>
        <w:color w:val="0F5581"/>
        <w:sz w:val="18"/>
        <w:szCs w:val="18"/>
      </w:rPr>
      <w:fldChar w:fldCharType="begin"/>
    </w:r>
    <w:r w:rsidRPr="00ED4580">
      <w:rPr>
        <w:rFonts w:ascii="Palatino Linotype" w:hAnsi="Palatino Linotype"/>
        <w:color w:val="0F5581"/>
        <w:sz w:val="18"/>
        <w:szCs w:val="18"/>
      </w:rPr>
      <w:instrText xml:space="preserve"> PAGE   \* MERGEFORMAT </w:instrText>
    </w:r>
    <w:r w:rsidRPr="00ED4580">
      <w:rPr>
        <w:rFonts w:ascii="Palatino Linotype" w:hAnsi="Palatino Linotype"/>
        <w:color w:val="0F5581"/>
        <w:sz w:val="18"/>
        <w:szCs w:val="18"/>
      </w:rPr>
      <w:fldChar w:fldCharType="separate"/>
    </w:r>
    <w:r w:rsidRPr="00ED4580">
      <w:rPr>
        <w:rFonts w:ascii="Palatino Linotype" w:hAnsi="Palatino Linotype"/>
        <w:noProof/>
        <w:color w:val="0F5581"/>
        <w:sz w:val="18"/>
        <w:szCs w:val="18"/>
      </w:rPr>
      <w:t>1</w:t>
    </w:r>
    <w:r w:rsidRPr="00ED4580">
      <w:rPr>
        <w:rFonts w:ascii="Palatino Linotype" w:hAnsi="Palatino Linotype"/>
        <w:color w:val="0F5581"/>
        <w:sz w:val="18"/>
        <w:szCs w:val="18"/>
      </w:rPr>
      <w:fldChar w:fldCharType="end"/>
    </w:r>
    <w:r w:rsidRPr="00ED4580">
      <w:rPr>
        <w:rFonts w:ascii="Palatino Linotype" w:hAnsi="Palatino Linotype"/>
        <w:color w:val="0F5581"/>
        <w:sz w:val="18"/>
        <w:szCs w:val="18"/>
      </w:rPr>
      <w:t xml:space="preserve"> | </w:t>
    </w:r>
    <w:r w:rsidRPr="00ED4580">
      <w:rPr>
        <w:rFonts w:ascii="Palatino Linotype" w:hAnsi="Palatino Linotype"/>
        <w:color w:val="0F5581"/>
        <w:sz w:val="18"/>
        <w:szCs w:val="18"/>
      </w:rPr>
      <w:fldChar w:fldCharType="begin"/>
    </w:r>
    <w:r w:rsidRPr="00ED4580">
      <w:rPr>
        <w:rFonts w:ascii="Palatino Linotype" w:hAnsi="Palatino Linotype"/>
        <w:color w:val="0F5581"/>
        <w:sz w:val="18"/>
        <w:szCs w:val="18"/>
      </w:rPr>
      <w:instrText xml:space="preserve"> NUMPAGES  \* Arabic  \* MERGEFORMAT </w:instrText>
    </w:r>
    <w:r w:rsidRPr="00ED4580">
      <w:rPr>
        <w:rFonts w:ascii="Palatino Linotype" w:hAnsi="Palatino Linotype"/>
        <w:color w:val="0F5581"/>
        <w:sz w:val="18"/>
        <w:szCs w:val="18"/>
      </w:rPr>
      <w:fldChar w:fldCharType="separate"/>
    </w:r>
    <w:r w:rsidRPr="00ED4580">
      <w:rPr>
        <w:rFonts w:ascii="Palatino Linotype" w:hAnsi="Palatino Linotype"/>
        <w:noProof/>
        <w:color w:val="0F5581"/>
        <w:sz w:val="18"/>
        <w:szCs w:val="18"/>
      </w:rPr>
      <w:t>1</w:t>
    </w:r>
    <w:r w:rsidRPr="00ED4580">
      <w:rPr>
        <w:rFonts w:ascii="Palatino Linotype" w:hAnsi="Palatino Linotype"/>
        <w:color w:val="0F5581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42DEEB" w14:textId="77777777" w:rsidR="002C3F96" w:rsidRDefault="002C3F96" w:rsidP="00641691">
      <w:r>
        <w:separator/>
      </w:r>
    </w:p>
  </w:footnote>
  <w:footnote w:type="continuationSeparator" w:id="0">
    <w:p w14:paraId="1338D52D" w14:textId="77777777" w:rsidR="002C3F96" w:rsidRDefault="002C3F96" w:rsidP="006416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50F4E"/>
    <w:multiLevelType w:val="hybridMultilevel"/>
    <w:tmpl w:val="95F6A1F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65F14"/>
    <w:multiLevelType w:val="hybridMultilevel"/>
    <w:tmpl w:val="7A9AE904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1E537AF5"/>
    <w:multiLevelType w:val="hybridMultilevel"/>
    <w:tmpl w:val="073CCAA0"/>
    <w:lvl w:ilvl="0" w:tplc="098CAC66">
      <w:start w:val="1"/>
      <w:numFmt w:val="bullet"/>
      <w:pStyle w:val="LeftColumnBullet"/>
      <w:lvlText w:val=""/>
      <w:lvlJc w:val="left"/>
      <w:pPr>
        <w:ind w:left="705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" w15:restartNumberingAfterBreak="0">
    <w:nsid w:val="2080792C"/>
    <w:multiLevelType w:val="hybridMultilevel"/>
    <w:tmpl w:val="0D74663A"/>
    <w:lvl w:ilvl="0" w:tplc="4CCC93A2">
      <w:start w:val="1"/>
      <w:numFmt w:val="bullet"/>
      <w:pStyle w:val="Accomplishments"/>
      <w:lvlText w:val=""/>
      <w:lvlJc w:val="left"/>
      <w:pPr>
        <w:ind w:left="706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4" w15:restartNumberingAfterBreak="0">
    <w:nsid w:val="3CCE7B12"/>
    <w:multiLevelType w:val="hybridMultilevel"/>
    <w:tmpl w:val="B7885EE0"/>
    <w:lvl w:ilvl="0" w:tplc="2F58AB14">
      <w:start w:val="1"/>
      <w:numFmt w:val="bullet"/>
      <w:pStyle w:val="JDAccomplishmen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D356D6"/>
    <w:multiLevelType w:val="hybridMultilevel"/>
    <w:tmpl w:val="4A340FEE"/>
    <w:lvl w:ilvl="0" w:tplc="2982D8BC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C756904"/>
    <w:multiLevelType w:val="hybridMultilevel"/>
    <w:tmpl w:val="E9587C7C"/>
    <w:lvl w:ilvl="0" w:tplc="055E6430">
      <w:start w:val="1"/>
      <w:numFmt w:val="bullet"/>
      <w:pStyle w:val="AoEBullet"/>
      <w:lvlText w:val=""/>
      <w:lvlJc w:val="left"/>
      <w:pPr>
        <w:ind w:left="705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3"/>
  </w:num>
  <w:num w:numId="8">
    <w:abstractNumId w:val="2"/>
  </w:num>
  <w:num w:numId="9">
    <w:abstractNumId w:val="4"/>
  </w:num>
  <w:num w:numId="10">
    <w:abstractNumId w:val="6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0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134"/>
    <w:rsid w:val="00030BB4"/>
    <w:rsid w:val="000520F6"/>
    <w:rsid w:val="00074240"/>
    <w:rsid w:val="0007498B"/>
    <w:rsid w:val="000872C6"/>
    <w:rsid w:val="00094BAB"/>
    <w:rsid w:val="000B4083"/>
    <w:rsid w:val="000C0D2A"/>
    <w:rsid w:val="000C4EF7"/>
    <w:rsid w:val="000D388C"/>
    <w:rsid w:val="000D3C3F"/>
    <w:rsid w:val="001050AD"/>
    <w:rsid w:val="00115891"/>
    <w:rsid w:val="00126170"/>
    <w:rsid w:val="0013258F"/>
    <w:rsid w:val="0013353E"/>
    <w:rsid w:val="00144206"/>
    <w:rsid w:val="00144B14"/>
    <w:rsid w:val="001550E9"/>
    <w:rsid w:val="00162C33"/>
    <w:rsid w:val="001714A0"/>
    <w:rsid w:val="001975E2"/>
    <w:rsid w:val="001A2F81"/>
    <w:rsid w:val="001A433A"/>
    <w:rsid w:val="001B3787"/>
    <w:rsid w:val="001F5600"/>
    <w:rsid w:val="002046CA"/>
    <w:rsid w:val="0020669A"/>
    <w:rsid w:val="00207CE8"/>
    <w:rsid w:val="00230403"/>
    <w:rsid w:val="00232650"/>
    <w:rsid w:val="00234631"/>
    <w:rsid w:val="00243290"/>
    <w:rsid w:val="002447D0"/>
    <w:rsid w:val="0025496D"/>
    <w:rsid w:val="00256C75"/>
    <w:rsid w:val="00261154"/>
    <w:rsid w:val="00274877"/>
    <w:rsid w:val="00276A98"/>
    <w:rsid w:val="002815DD"/>
    <w:rsid w:val="002A637D"/>
    <w:rsid w:val="002C1EA8"/>
    <w:rsid w:val="002C3F96"/>
    <w:rsid w:val="002D4DBF"/>
    <w:rsid w:val="002D5049"/>
    <w:rsid w:val="002F4EDE"/>
    <w:rsid w:val="0031746A"/>
    <w:rsid w:val="00327BB1"/>
    <w:rsid w:val="003346F1"/>
    <w:rsid w:val="003476ED"/>
    <w:rsid w:val="00357F31"/>
    <w:rsid w:val="00383CEC"/>
    <w:rsid w:val="00391601"/>
    <w:rsid w:val="003A1310"/>
    <w:rsid w:val="003A7847"/>
    <w:rsid w:val="003A7A9D"/>
    <w:rsid w:val="003C52F6"/>
    <w:rsid w:val="003D3716"/>
    <w:rsid w:val="003D6B6C"/>
    <w:rsid w:val="003E7901"/>
    <w:rsid w:val="00407CAE"/>
    <w:rsid w:val="00414540"/>
    <w:rsid w:val="00424AEA"/>
    <w:rsid w:val="00442BA0"/>
    <w:rsid w:val="00446D59"/>
    <w:rsid w:val="00451756"/>
    <w:rsid w:val="004522BE"/>
    <w:rsid w:val="00452B6C"/>
    <w:rsid w:val="0045718C"/>
    <w:rsid w:val="00470A88"/>
    <w:rsid w:val="00473549"/>
    <w:rsid w:val="00491268"/>
    <w:rsid w:val="0049540B"/>
    <w:rsid w:val="004A6FB2"/>
    <w:rsid w:val="004A7389"/>
    <w:rsid w:val="004B62EE"/>
    <w:rsid w:val="004B666F"/>
    <w:rsid w:val="004F033B"/>
    <w:rsid w:val="00522B93"/>
    <w:rsid w:val="00532D23"/>
    <w:rsid w:val="00535FB6"/>
    <w:rsid w:val="00542F91"/>
    <w:rsid w:val="00547372"/>
    <w:rsid w:val="00552FEE"/>
    <w:rsid w:val="00557B68"/>
    <w:rsid w:val="0056233C"/>
    <w:rsid w:val="00565ED6"/>
    <w:rsid w:val="00592817"/>
    <w:rsid w:val="005A4F77"/>
    <w:rsid w:val="005B4C7B"/>
    <w:rsid w:val="005E5A0E"/>
    <w:rsid w:val="005F278D"/>
    <w:rsid w:val="005F3F56"/>
    <w:rsid w:val="005F7D7C"/>
    <w:rsid w:val="006111B4"/>
    <w:rsid w:val="00641691"/>
    <w:rsid w:val="006453EF"/>
    <w:rsid w:val="00645503"/>
    <w:rsid w:val="00684943"/>
    <w:rsid w:val="006878FD"/>
    <w:rsid w:val="006A37EE"/>
    <w:rsid w:val="006A7FFA"/>
    <w:rsid w:val="006C58BE"/>
    <w:rsid w:val="006D36E7"/>
    <w:rsid w:val="006E31C0"/>
    <w:rsid w:val="007045C1"/>
    <w:rsid w:val="007055D6"/>
    <w:rsid w:val="007071EA"/>
    <w:rsid w:val="00713573"/>
    <w:rsid w:val="007217F2"/>
    <w:rsid w:val="00725613"/>
    <w:rsid w:val="0073330E"/>
    <w:rsid w:val="00740B19"/>
    <w:rsid w:val="00754524"/>
    <w:rsid w:val="0075549A"/>
    <w:rsid w:val="00760CFF"/>
    <w:rsid w:val="00785C5F"/>
    <w:rsid w:val="007A196A"/>
    <w:rsid w:val="007A19B1"/>
    <w:rsid w:val="007A2774"/>
    <w:rsid w:val="007C06D1"/>
    <w:rsid w:val="007D487C"/>
    <w:rsid w:val="007E43A9"/>
    <w:rsid w:val="007E7BBC"/>
    <w:rsid w:val="008357C1"/>
    <w:rsid w:val="00854D0E"/>
    <w:rsid w:val="00861A40"/>
    <w:rsid w:val="008942FC"/>
    <w:rsid w:val="008A11CD"/>
    <w:rsid w:val="008B4FFD"/>
    <w:rsid w:val="008D0FA9"/>
    <w:rsid w:val="008E66D9"/>
    <w:rsid w:val="008E6B16"/>
    <w:rsid w:val="008F4158"/>
    <w:rsid w:val="008F648F"/>
    <w:rsid w:val="009000A0"/>
    <w:rsid w:val="009057A1"/>
    <w:rsid w:val="00914F23"/>
    <w:rsid w:val="00920590"/>
    <w:rsid w:val="0093286C"/>
    <w:rsid w:val="00956C40"/>
    <w:rsid w:val="009914F5"/>
    <w:rsid w:val="009A095C"/>
    <w:rsid w:val="009A6E99"/>
    <w:rsid w:val="009C0BFF"/>
    <w:rsid w:val="009C2E8A"/>
    <w:rsid w:val="009C3267"/>
    <w:rsid w:val="009D31B8"/>
    <w:rsid w:val="009D4292"/>
    <w:rsid w:val="009E5224"/>
    <w:rsid w:val="009F53B2"/>
    <w:rsid w:val="00A074C7"/>
    <w:rsid w:val="00A3238D"/>
    <w:rsid w:val="00A41133"/>
    <w:rsid w:val="00A44767"/>
    <w:rsid w:val="00A44D39"/>
    <w:rsid w:val="00A57DF6"/>
    <w:rsid w:val="00A63802"/>
    <w:rsid w:val="00A75A68"/>
    <w:rsid w:val="00A76851"/>
    <w:rsid w:val="00A76CB3"/>
    <w:rsid w:val="00A906CB"/>
    <w:rsid w:val="00A943D7"/>
    <w:rsid w:val="00AC40AD"/>
    <w:rsid w:val="00AE171F"/>
    <w:rsid w:val="00AE4009"/>
    <w:rsid w:val="00AF158F"/>
    <w:rsid w:val="00B06379"/>
    <w:rsid w:val="00B1268D"/>
    <w:rsid w:val="00B16A05"/>
    <w:rsid w:val="00B34BD9"/>
    <w:rsid w:val="00B50577"/>
    <w:rsid w:val="00B70AD4"/>
    <w:rsid w:val="00B70AD9"/>
    <w:rsid w:val="00B74E23"/>
    <w:rsid w:val="00B94207"/>
    <w:rsid w:val="00BA22C7"/>
    <w:rsid w:val="00BA3F2F"/>
    <w:rsid w:val="00BC549F"/>
    <w:rsid w:val="00BD2D17"/>
    <w:rsid w:val="00BE1AA2"/>
    <w:rsid w:val="00C51FAB"/>
    <w:rsid w:val="00C558CD"/>
    <w:rsid w:val="00C5643F"/>
    <w:rsid w:val="00C574D3"/>
    <w:rsid w:val="00CB1FB7"/>
    <w:rsid w:val="00CB6922"/>
    <w:rsid w:val="00CC4B60"/>
    <w:rsid w:val="00D048C6"/>
    <w:rsid w:val="00D11D93"/>
    <w:rsid w:val="00D14628"/>
    <w:rsid w:val="00D23ADA"/>
    <w:rsid w:val="00D318DE"/>
    <w:rsid w:val="00D31B44"/>
    <w:rsid w:val="00D75412"/>
    <w:rsid w:val="00D76533"/>
    <w:rsid w:val="00D77B53"/>
    <w:rsid w:val="00D85ABA"/>
    <w:rsid w:val="00D914C3"/>
    <w:rsid w:val="00DA2759"/>
    <w:rsid w:val="00DA3CDB"/>
    <w:rsid w:val="00DC2602"/>
    <w:rsid w:val="00DD333B"/>
    <w:rsid w:val="00DD53A9"/>
    <w:rsid w:val="00DD60A2"/>
    <w:rsid w:val="00DD6AE0"/>
    <w:rsid w:val="00DE0FCA"/>
    <w:rsid w:val="00DE4272"/>
    <w:rsid w:val="00DF2134"/>
    <w:rsid w:val="00DF6D3D"/>
    <w:rsid w:val="00E015F5"/>
    <w:rsid w:val="00E41AEF"/>
    <w:rsid w:val="00E41BB2"/>
    <w:rsid w:val="00E43B31"/>
    <w:rsid w:val="00E456E5"/>
    <w:rsid w:val="00E52CFF"/>
    <w:rsid w:val="00E64654"/>
    <w:rsid w:val="00E754ED"/>
    <w:rsid w:val="00E7610E"/>
    <w:rsid w:val="00E93392"/>
    <w:rsid w:val="00EA61F8"/>
    <w:rsid w:val="00EB3839"/>
    <w:rsid w:val="00ED235E"/>
    <w:rsid w:val="00ED4580"/>
    <w:rsid w:val="00EE7CAB"/>
    <w:rsid w:val="00EF2020"/>
    <w:rsid w:val="00EF3C82"/>
    <w:rsid w:val="00EF61EF"/>
    <w:rsid w:val="00EF7190"/>
    <w:rsid w:val="00F31F5A"/>
    <w:rsid w:val="00F32F75"/>
    <w:rsid w:val="00F34480"/>
    <w:rsid w:val="00F46852"/>
    <w:rsid w:val="00F47EB0"/>
    <w:rsid w:val="00F50A4B"/>
    <w:rsid w:val="00F81F89"/>
    <w:rsid w:val="00F8299F"/>
    <w:rsid w:val="00F8348A"/>
    <w:rsid w:val="00FB1A8D"/>
    <w:rsid w:val="00FC207E"/>
    <w:rsid w:val="00FE3DE4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318EEE"/>
  <w15:chartTrackingRefBased/>
  <w15:docId w15:val="{622454F1-0593-4BE3-991A-29E86D6A4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Titre1">
    <w:name w:val="heading 1"/>
    <w:basedOn w:val="Normal"/>
    <w:next w:val="Normal"/>
    <w:link w:val="Titre1Car"/>
    <w:uiPriority w:val="9"/>
    <w:qFormat/>
    <w:rsid w:val="00AE171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5F3F5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F21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F213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41691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641691"/>
  </w:style>
  <w:style w:type="paragraph" w:styleId="Pieddepage">
    <w:name w:val="footer"/>
    <w:basedOn w:val="Normal"/>
    <w:link w:val="PieddepageCar"/>
    <w:uiPriority w:val="99"/>
    <w:unhideWhenUsed/>
    <w:rsid w:val="00641691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41691"/>
  </w:style>
  <w:style w:type="paragraph" w:styleId="Titre">
    <w:name w:val="Title"/>
    <w:basedOn w:val="Normal"/>
    <w:next w:val="Normal"/>
    <w:link w:val="TitreCar"/>
    <w:qFormat/>
    <w:rsid w:val="00684943"/>
    <w:rPr>
      <w:rFonts w:ascii="Palatino Linotype" w:hAnsi="Palatino Linotype" w:cs="Helvetica"/>
      <w:b/>
      <w:bCs/>
      <w:color w:val="0F5581"/>
      <w:sz w:val="40"/>
      <w:szCs w:val="40"/>
    </w:rPr>
  </w:style>
  <w:style w:type="character" w:customStyle="1" w:styleId="TitreCar">
    <w:name w:val="Titre Car"/>
    <w:basedOn w:val="Policepardfaut"/>
    <w:link w:val="Titre"/>
    <w:rsid w:val="00684943"/>
    <w:rPr>
      <w:rFonts w:ascii="Palatino Linotype" w:hAnsi="Palatino Linotype" w:cs="Helvetica"/>
      <w:b/>
      <w:bCs/>
      <w:color w:val="0F5581"/>
      <w:sz w:val="40"/>
      <w:szCs w:val="4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84943"/>
    <w:pPr>
      <w:spacing w:before="120"/>
    </w:pPr>
    <w:rPr>
      <w:rFonts w:ascii="Palatino Linotype" w:hAnsi="Palatino Linotype" w:cs="Helvetica"/>
      <w:color w:val="0F5581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684943"/>
    <w:rPr>
      <w:rFonts w:ascii="Palatino Linotype" w:hAnsi="Palatino Linotype" w:cs="Helvetica"/>
      <w:color w:val="0F5581"/>
      <w:sz w:val="24"/>
      <w:szCs w:val="24"/>
    </w:rPr>
  </w:style>
  <w:style w:type="paragraph" w:customStyle="1" w:styleId="AddressBlock">
    <w:name w:val="Address Block"/>
    <w:basedOn w:val="Normal"/>
    <w:qFormat/>
    <w:rsid w:val="00684943"/>
    <w:pPr>
      <w:autoSpaceDE w:val="0"/>
      <w:autoSpaceDN w:val="0"/>
      <w:adjustRightInd w:val="0"/>
      <w:jc w:val="right"/>
    </w:pPr>
    <w:rPr>
      <w:rFonts w:ascii="Helvetica" w:hAnsi="Helvetica" w:cs="Helvetica"/>
      <w:color w:val="0F5581"/>
      <w:sz w:val="20"/>
      <w:szCs w:val="20"/>
    </w:rPr>
  </w:style>
  <w:style w:type="paragraph" w:customStyle="1" w:styleId="SectionHeading">
    <w:name w:val="Section Heading"/>
    <w:basedOn w:val="Normal"/>
    <w:qFormat/>
    <w:rsid w:val="00684943"/>
    <w:pPr>
      <w:spacing w:before="480" w:after="240"/>
    </w:pPr>
    <w:rPr>
      <w:rFonts w:ascii="Palatino Linotype" w:hAnsi="Palatino Linotype" w:cs="Helvetica"/>
      <w:b/>
      <w:bCs/>
      <w:color w:val="0F5581"/>
      <w:sz w:val="28"/>
      <w:szCs w:val="28"/>
    </w:rPr>
  </w:style>
  <w:style w:type="paragraph" w:customStyle="1" w:styleId="Summary">
    <w:name w:val="Summary"/>
    <w:basedOn w:val="Normal"/>
    <w:qFormat/>
    <w:rsid w:val="00684943"/>
    <w:pPr>
      <w:tabs>
        <w:tab w:val="right" w:pos="7155"/>
      </w:tabs>
      <w:spacing w:before="180"/>
    </w:pPr>
    <w:rPr>
      <w:rFonts w:ascii="Helvetica" w:hAnsi="Helvetica" w:cs="Helvetica"/>
      <w:color w:val="505050"/>
      <w:sz w:val="20"/>
      <w:szCs w:val="20"/>
    </w:rPr>
  </w:style>
  <w:style w:type="paragraph" w:customStyle="1" w:styleId="Accomplishments">
    <w:name w:val="Accomplishments"/>
    <w:basedOn w:val="Paragraphedeliste"/>
    <w:qFormat/>
    <w:rsid w:val="00684943"/>
    <w:pPr>
      <w:numPr>
        <w:numId w:val="3"/>
      </w:numPr>
      <w:spacing w:before="180"/>
      <w:ind w:left="255" w:hanging="269"/>
    </w:pPr>
    <w:rPr>
      <w:rFonts w:ascii="Helvetica" w:hAnsi="Helvetica" w:cs="Helvetica"/>
      <w:color w:val="505050"/>
      <w:sz w:val="20"/>
      <w:szCs w:val="20"/>
    </w:rPr>
  </w:style>
  <w:style w:type="paragraph" w:customStyle="1" w:styleId="AoEBullets">
    <w:name w:val="AoE Bullets"/>
    <w:basedOn w:val="Paragraphedeliste"/>
    <w:qFormat/>
    <w:rsid w:val="00C558CD"/>
    <w:pPr>
      <w:ind w:hanging="360"/>
    </w:pPr>
    <w:rPr>
      <w:rFonts w:ascii="Corbel" w:hAnsi="Corbel"/>
      <w:sz w:val="20"/>
      <w:szCs w:val="20"/>
    </w:rPr>
  </w:style>
  <w:style w:type="paragraph" w:customStyle="1" w:styleId="EduInfo">
    <w:name w:val="Edu Info"/>
    <w:basedOn w:val="Normal"/>
    <w:qFormat/>
    <w:rsid w:val="00684943"/>
    <w:pPr>
      <w:spacing w:after="120"/>
      <w:ind w:left="-14"/>
      <w:contextualSpacing/>
    </w:pPr>
    <w:rPr>
      <w:rFonts w:ascii="Helvetica" w:hAnsi="Helvetica" w:cs="Helvetica"/>
      <w:color w:val="505050"/>
      <w:sz w:val="20"/>
      <w:szCs w:val="20"/>
    </w:rPr>
  </w:style>
  <w:style w:type="paragraph" w:customStyle="1" w:styleId="EduDegree">
    <w:name w:val="Edu Degree"/>
    <w:basedOn w:val="Normal"/>
    <w:qFormat/>
    <w:rsid w:val="00684943"/>
    <w:pPr>
      <w:ind w:left="-15"/>
    </w:pPr>
    <w:rPr>
      <w:rFonts w:ascii="Helvetica" w:hAnsi="Helvetica" w:cs="Helvetica"/>
      <w:b/>
      <w:bCs/>
      <w:color w:val="505050"/>
      <w:sz w:val="20"/>
      <w:szCs w:val="20"/>
    </w:rPr>
  </w:style>
  <w:style w:type="paragraph" w:customStyle="1" w:styleId="LeftColumnBullet">
    <w:name w:val="Left Column Bullet"/>
    <w:basedOn w:val="Paragraphedeliste"/>
    <w:qFormat/>
    <w:rsid w:val="00684943"/>
    <w:pPr>
      <w:numPr>
        <w:numId w:val="4"/>
      </w:numPr>
      <w:ind w:left="345" w:hanging="270"/>
    </w:pPr>
    <w:rPr>
      <w:rFonts w:ascii="Helvetica" w:hAnsi="Helvetica" w:cs="Helvetica"/>
      <w:color w:val="505050"/>
      <w:sz w:val="20"/>
      <w:szCs w:val="20"/>
    </w:rPr>
  </w:style>
  <w:style w:type="paragraph" w:customStyle="1" w:styleId="JDAccomplishment">
    <w:name w:val="JD Accomplishment"/>
    <w:basedOn w:val="Paragraphedeliste"/>
    <w:qFormat/>
    <w:rsid w:val="007D487C"/>
    <w:pPr>
      <w:numPr>
        <w:numId w:val="1"/>
      </w:numPr>
      <w:spacing w:after="480"/>
    </w:pPr>
    <w:rPr>
      <w:rFonts w:ascii="Helvetica" w:hAnsi="Helvetica" w:cs="Helvetica"/>
      <w:color w:val="505050"/>
      <w:sz w:val="20"/>
      <w:szCs w:val="20"/>
    </w:rPr>
  </w:style>
  <w:style w:type="paragraph" w:customStyle="1" w:styleId="CompanyBlock">
    <w:name w:val="Company Block"/>
    <w:basedOn w:val="Normal"/>
    <w:qFormat/>
    <w:rsid w:val="00684943"/>
    <w:pPr>
      <w:tabs>
        <w:tab w:val="right" w:pos="7155"/>
      </w:tabs>
      <w:spacing w:after="180"/>
      <w:contextualSpacing/>
    </w:pPr>
    <w:rPr>
      <w:rFonts w:ascii="Helvetica" w:hAnsi="Helvetica" w:cs="Helvetica"/>
      <w:b/>
      <w:bCs/>
      <w:color w:val="505050"/>
      <w:sz w:val="20"/>
      <w:szCs w:val="20"/>
    </w:rPr>
  </w:style>
  <w:style w:type="paragraph" w:customStyle="1" w:styleId="JobDescription">
    <w:name w:val="Job Description"/>
    <w:basedOn w:val="Normal"/>
    <w:qFormat/>
    <w:rsid w:val="00684943"/>
    <w:pPr>
      <w:tabs>
        <w:tab w:val="right" w:pos="7155"/>
      </w:tabs>
      <w:spacing w:after="180"/>
      <w:contextualSpacing/>
    </w:pPr>
    <w:rPr>
      <w:rFonts w:ascii="Helvetica" w:hAnsi="Helvetica" w:cs="Helvetica"/>
      <w:color w:val="505050"/>
      <w:sz w:val="20"/>
      <w:szCs w:val="20"/>
    </w:rPr>
  </w:style>
  <w:style w:type="paragraph" w:customStyle="1" w:styleId="AoEBullet">
    <w:name w:val="AoE Bullet"/>
    <w:basedOn w:val="Paragraphedeliste"/>
    <w:qFormat/>
    <w:rsid w:val="007A19B1"/>
    <w:pPr>
      <w:numPr>
        <w:numId w:val="5"/>
      </w:numPr>
      <w:ind w:left="150" w:hanging="180"/>
    </w:pPr>
    <w:rPr>
      <w:rFonts w:ascii="Helvetica" w:hAnsi="Helvetica" w:cs="Helvetica"/>
      <w:color w:val="505050"/>
      <w:sz w:val="20"/>
      <w:szCs w:val="20"/>
    </w:rPr>
  </w:style>
  <w:style w:type="paragraph" w:customStyle="1" w:styleId="ContactInfo">
    <w:name w:val="Contact Info"/>
    <w:basedOn w:val="Normal"/>
    <w:qFormat/>
    <w:rsid w:val="006A7FFA"/>
    <w:pPr>
      <w:autoSpaceDE w:val="0"/>
      <w:autoSpaceDN w:val="0"/>
      <w:adjustRightInd w:val="0"/>
      <w:jc w:val="right"/>
    </w:pPr>
    <w:rPr>
      <w:rFonts w:ascii="Helvetica" w:eastAsia="Calibri" w:hAnsi="Helvetica" w:cs="Helvetica"/>
      <w:color w:val="005F65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64550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45503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92059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2059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20590"/>
    <w:rPr>
      <w:rFonts w:eastAsiaTheme="minorEastAsia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2059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20590"/>
    <w:rPr>
      <w:rFonts w:eastAsiaTheme="minorEastAsia"/>
      <w:b/>
      <w:bCs/>
      <w:sz w:val="20"/>
      <w:szCs w:val="20"/>
    </w:rPr>
  </w:style>
  <w:style w:type="paragraph" w:customStyle="1" w:styleId="CVMedium-FirstLine">
    <w:name w:val="CV Medium - First Line"/>
    <w:basedOn w:val="Normal"/>
    <w:next w:val="Normal"/>
    <w:rsid w:val="00446D59"/>
    <w:pPr>
      <w:suppressAutoHyphens/>
      <w:spacing w:before="74"/>
      <w:ind w:left="113" w:right="113"/>
    </w:pPr>
    <w:rPr>
      <w:rFonts w:ascii="Arial Narrow" w:eastAsia="Times New Roman" w:hAnsi="Arial Narrow" w:cs="Times New Roman"/>
      <w:b/>
      <w:szCs w:val="20"/>
      <w:lang w:eastAsia="ar-SA"/>
    </w:rPr>
  </w:style>
  <w:style w:type="paragraph" w:customStyle="1" w:styleId="CVNormal">
    <w:name w:val="CV Normal"/>
    <w:basedOn w:val="Normal"/>
    <w:rsid w:val="00446D59"/>
    <w:pPr>
      <w:suppressAutoHyphens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character" w:customStyle="1" w:styleId="Titre1Car">
    <w:name w:val="Titre 1 Car"/>
    <w:basedOn w:val="Policepardfaut"/>
    <w:link w:val="Titre1"/>
    <w:uiPriority w:val="9"/>
    <w:rsid w:val="00AE171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5F3F5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16/j.ymthe.2022.01.00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doi.org/10.1016/j.jalz.2016.09.01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10.3389/fnagi.2019.002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6E3932-5162-734A-86ED-95E521971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1271</Words>
  <Characters>6991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Orgeta Zejneli's Resume</vt:lpstr>
    </vt:vector>
  </TitlesOfParts>
  <Company/>
  <LinksUpToDate>false</LinksUpToDate>
  <CharactersWithSpaces>8246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Orgeta Zejneli's Resume</dc:title>
  <dc:creator>Orgeta Zejneli</dc:creator>
  <cp:lastModifiedBy>Microsoft Office User</cp:lastModifiedBy>
  <cp:revision>9</cp:revision>
  <cp:lastPrinted>2022-05-11T22:08:00Z</cp:lastPrinted>
  <dcterms:created xsi:type="dcterms:W3CDTF">2022-05-09T20:37:00Z</dcterms:created>
  <dcterms:modified xsi:type="dcterms:W3CDTF">2022-06-20T08:15:00Z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tv">
    <vt:lpwstr>GoGeMo2-v1</vt:lpwstr>
  </property>
  <property fmtid="{D5CDD505-2E9C-101B-9397-08002B2CF9AE}" pid="3" name="tal_id">
    <vt:lpwstr>022c81ec8fd2238d6f59b63758240b9a</vt:lpwstr>
  </property>
  <property fmtid="{D5CDD505-2E9C-101B-9397-08002B2CF9AE}" pid="4" name="app_source">
    <vt:lpwstr>rezbiz</vt:lpwstr>
  </property>
  <property fmtid="{D5CDD505-2E9C-101B-9397-08002B2CF9AE}" pid="5" name="app_id">
    <vt:lpwstr>983604</vt:lpwstr>
  </property>
</Properties>
</file>